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F4A" w:rsidRPr="00CE35F5" w:rsidRDefault="00410F4A" w:rsidP="00410F4A">
      <w:pPr>
        <w:pStyle w:val="Heading1-nonumber"/>
      </w:pPr>
      <w:r w:rsidRPr="00CE35F5">
        <w:t>Quarterly Investment Report: 3</w:t>
      </w:r>
      <w:r>
        <w:t xml:space="preserve">0 June </w:t>
      </w:r>
      <w:r w:rsidRPr="00CE35F5">
        <w:t>2020</w:t>
      </w:r>
    </w:p>
    <w:p w:rsidR="00410F4A" w:rsidRPr="003025B2" w:rsidRDefault="00410F4A" w:rsidP="00410F4A">
      <w:pPr>
        <w:ind w:right="-1"/>
        <w:rPr>
          <w:rFonts w:cs="Arial"/>
          <w:color w:val="auto"/>
          <w:szCs w:val="20"/>
        </w:rPr>
      </w:pPr>
      <w:r w:rsidRPr="00CE35F5">
        <w:rPr>
          <w:rFonts w:cs="Arial"/>
          <w:color w:val="auto"/>
          <w:szCs w:val="20"/>
        </w:rPr>
        <w:t xml:space="preserve">This report is provided </w:t>
      </w:r>
      <w:r w:rsidRPr="003025B2">
        <w:rPr>
          <w:rFonts w:cs="Arial"/>
          <w:color w:val="auto"/>
          <w:szCs w:val="20"/>
        </w:rPr>
        <w:t xml:space="preserve">in accordance with the requirements of section 72 of the </w:t>
      </w:r>
      <w:r w:rsidRPr="003025B2">
        <w:rPr>
          <w:rFonts w:cs="Arial"/>
          <w:i/>
          <w:color w:val="auto"/>
          <w:szCs w:val="20"/>
        </w:rPr>
        <w:t>Clean Energy Finance Corporation Act 2012</w:t>
      </w:r>
      <w:r w:rsidRPr="003025B2">
        <w:rPr>
          <w:rFonts w:cs="Arial"/>
          <w:color w:val="auto"/>
          <w:szCs w:val="20"/>
        </w:rPr>
        <w:t xml:space="preserve"> concerning the Corporation’s investments for the quarter ending </w:t>
      </w:r>
      <w:r>
        <w:rPr>
          <w:rFonts w:cs="Arial"/>
          <w:color w:val="auto"/>
          <w:szCs w:val="20"/>
        </w:rPr>
        <w:t>30</w:t>
      </w:r>
      <w:r w:rsidRPr="003E18E3">
        <w:rPr>
          <w:rFonts w:cs="Arial"/>
          <w:color w:val="auto"/>
          <w:szCs w:val="20"/>
          <w:vertAlign w:val="superscript"/>
        </w:rPr>
        <w:t>th</w:t>
      </w:r>
      <w:r>
        <w:rPr>
          <w:rFonts w:cs="Arial"/>
          <w:color w:val="auto"/>
          <w:szCs w:val="20"/>
        </w:rPr>
        <w:t xml:space="preserve"> June 2020</w:t>
      </w:r>
      <w:r w:rsidRPr="003025B2">
        <w:rPr>
          <w:rFonts w:cs="Arial"/>
          <w:color w:val="auto"/>
          <w:szCs w:val="20"/>
        </w:rPr>
        <w:t xml:space="preserve">. </w:t>
      </w:r>
    </w:p>
    <w:p w:rsidR="00410F4A" w:rsidRPr="003025B2" w:rsidRDefault="00410F4A" w:rsidP="00410F4A">
      <w:pPr>
        <w:pStyle w:val="Heading2"/>
        <w:spacing w:before="120" w:after="120"/>
        <w:rPr>
          <w:rFonts w:asciiTheme="minorHAnsi" w:eastAsia="Times New Roman" w:hAnsiTheme="minorHAnsi" w:cs="Arial"/>
          <w:color w:val="auto"/>
          <w:sz w:val="20"/>
          <w:szCs w:val="20"/>
        </w:rPr>
      </w:pPr>
      <w:r w:rsidRPr="003025B2">
        <w:rPr>
          <w:rFonts w:asciiTheme="minorHAnsi" w:eastAsia="Times New Roman" w:hAnsiTheme="minorHAnsi" w:cs="Arial"/>
          <w:color w:val="auto"/>
          <w:sz w:val="20"/>
          <w:szCs w:val="20"/>
        </w:rPr>
        <w:t>Investments</w:t>
      </w:r>
    </w:p>
    <w:tbl>
      <w:tblPr>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975"/>
        <w:gridCol w:w="4868"/>
        <w:gridCol w:w="1264"/>
        <w:gridCol w:w="1962"/>
        <w:gridCol w:w="1957"/>
        <w:gridCol w:w="1956"/>
      </w:tblGrid>
      <w:tr w:rsidR="00410F4A" w:rsidRPr="006F0EA2" w:rsidTr="00F80101">
        <w:trPr>
          <w:trHeight w:val="824"/>
          <w:tblHeader/>
          <w:jc w:val="center"/>
        </w:trPr>
        <w:tc>
          <w:tcPr>
            <w:tcW w:w="1975" w:type="dxa"/>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DATE</w:t>
            </w:r>
          </w:p>
        </w:tc>
        <w:tc>
          <w:tcPr>
            <w:tcW w:w="4868" w:type="dxa"/>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FORM OF INVESTMENT</w:t>
            </w:r>
          </w:p>
        </w:tc>
        <w:tc>
          <w:tcPr>
            <w:tcW w:w="1264" w:type="dxa"/>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VALUE ($MILLION)</w:t>
            </w:r>
          </w:p>
        </w:tc>
        <w:tc>
          <w:tcPr>
            <w:tcW w:w="1962" w:type="dxa"/>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LENGTH OF INVESTMENT</w:t>
            </w:r>
          </w:p>
        </w:tc>
        <w:tc>
          <w:tcPr>
            <w:tcW w:w="1957" w:type="dxa"/>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EXPECTED RATE OF RETURN (%)</w:t>
            </w:r>
          </w:p>
        </w:tc>
        <w:tc>
          <w:tcPr>
            <w:tcW w:w="1956" w:type="dxa"/>
            <w:tcBorders>
              <w:right w:val="single" w:sz="8" w:space="0" w:color="BFBFBF" w:themeColor="background1" w:themeShade="BF"/>
            </w:tcBorders>
            <w:shd w:val="clear" w:color="auto" w:fill="00C752" w:themeFill="accent1"/>
            <w:tcMar>
              <w:top w:w="0" w:type="dxa"/>
              <w:left w:w="108" w:type="dxa"/>
              <w:bottom w:w="0" w:type="dxa"/>
              <w:right w:w="108" w:type="dxa"/>
            </w:tcMar>
            <w:vAlign w:val="center"/>
            <w:hideMark/>
          </w:tcPr>
          <w:p w:rsidR="00410F4A" w:rsidRPr="006F0EA2" w:rsidRDefault="00410F4A" w:rsidP="00F80101">
            <w:pPr>
              <w:pStyle w:val="BodyText"/>
              <w:spacing w:before="0" w:after="0"/>
              <w:jc w:val="center"/>
              <w:rPr>
                <w:rFonts w:cs="Arial"/>
                <w:b/>
                <w:color w:val="FFFFFF" w:themeColor="background1"/>
                <w:szCs w:val="20"/>
              </w:rPr>
            </w:pPr>
            <w:r w:rsidRPr="006F0EA2">
              <w:rPr>
                <w:rFonts w:cs="Arial"/>
                <w:b/>
                <w:color w:val="FFFFFF" w:themeColor="background1"/>
                <w:szCs w:val="20"/>
              </w:rPr>
              <w:t>PLACE</w:t>
            </w:r>
          </w:p>
        </w:tc>
      </w:tr>
      <w:tr w:rsidR="00410F4A" w:rsidRPr="006F0EA2" w:rsidTr="00F80101">
        <w:trPr>
          <w:trHeight w:val="898"/>
          <w:jc w:val="center"/>
        </w:trPr>
        <w:tc>
          <w:tcPr>
            <w:tcW w:w="1975" w:type="dxa"/>
            <w:shd w:val="clear" w:color="auto" w:fill="FFFFFF" w:themeFill="background1"/>
            <w:tcMar>
              <w:top w:w="0" w:type="dxa"/>
              <w:left w:w="108" w:type="dxa"/>
              <w:bottom w:w="0" w:type="dxa"/>
              <w:right w:w="108" w:type="dxa"/>
            </w:tcMar>
            <w:vAlign w:val="center"/>
          </w:tcPr>
          <w:p w:rsidR="00410F4A" w:rsidRDefault="00410F4A" w:rsidP="00F80101">
            <w:pPr>
              <w:pStyle w:val="BodyText"/>
              <w:spacing w:before="120" w:after="0"/>
              <w:jc w:val="center"/>
              <w:rPr>
                <w:rFonts w:cs="Arial"/>
                <w:color w:val="auto"/>
                <w:szCs w:val="20"/>
              </w:rPr>
            </w:pPr>
            <w:r>
              <w:rPr>
                <w:rFonts w:cs="Arial"/>
                <w:color w:val="auto"/>
                <w:szCs w:val="20"/>
              </w:rPr>
              <w:t>23 April 2020</w:t>
            </w:r>
          </w:p>
          <w:p w:rsidR="00410F4A" w:rsidRPr="006F0EA2" w:rsidRDefault="00410F4A" w:rsidP="00F80101">
            <w:pPr>
              <w:pStyle w:val="BodyText"/>
              <w:spacing w:before="120" w:after="0"/>
              <w:jc w:val="center"/>
              <w:rPr>
                <w:rFonts w:cs="Arial"/>
                <w:color w:val="auto"/>
                <w:szCs w:val="20"/>
              </w:rPr>
            </w:pPr>
          </w:p>
        </w:tc>
        <w:tc>
          <w:tcPr>
            <w:tcW w:w="4868" w:type="dxa"/>
            <w:shd w:val="clear" w:color="auto" w:fill="auto"/>
            <w:tcMar>
              <w:top w:w="0" w:type="dxa"/>
              <w:left w:w="108" w:type="dxa"/>
              <w:bottom w:w="0" w:type="dxa"/>
              <w:right w:w="108" w:type="dxa"/>
            </w:tcMar>
            <w:vAlign w:val="center"/>
          </w:tcPr>
          <w:p w:rsidR="00410F4A" w:rsidRPr="009F50C7" w:rsidRDefault="00410F4A" w:rsidP="00F80101">
            <w:pPr>
              <w:autoSpaceDE w:val="0"/>
              <w:autoSpaceDN w:val="0"/>
              <w:adjustRightInd w:val="0"/>
              <w:rPr>
                <w:rFonts w:cs="Arial"/>
                <w:color w:val="auto"/>
                <w:szCs w:val="20"/>
                <w:lang w:val="en-AU"/>
              </w:rPr>
            </w:pPr>
            <w:r>
              <w:rPr>
                <w:rFonts w:ascii="Century Gothic" w:hAnsi="Century Gothic"/>
              </w:rPr>
              <w:t>Equity in an electric vehicle charging technology company</w:t>
            </w:r>
            <w:r>
              <w:rPr>
                <w:rFonts w:cs="Arial"/>
                <w:color w:val="auto"/>
                <w:szCs w:val="20"/>
              </w:rPr>
              <w:t>,</w:t>
            </w:r>
            <w:r w:rsidRPr="00F218B0">
              <w:rPr>
                <w:rFonts w:cs="Arial"/>
                <w:color w:val="auto"/>
                <w:szCs w:val="20"/>
              </w:rPr>
              <w:t xml:space="preserve"> via the Clean Energy Innovation Fund</w:t>
            </w:r>
          </w:p>
        </w:tc>
        <w:tc>
          <w:tcPr>
            <w:tcW w:w="1264" w:type="dxa"/>
            <w:shd w:val="clear" w:color="auto" w:fill="auto"/>
            <w:tcMar>
              <w:top w:w="0" w:type="dxa"/>
              <w:left w:w="108" w:type="dxa"/>
              <w:bottom w:w="0" w:type="dxa"/>
              <w:right w:w="108" w:type="dxa"/>
            </w:tcMar>
            <w:vAlign w:val="center"/>
          </w:tcPr>
          <w:p w:rsidR="00410F4A" w:rsidRDefault="00410F4A" w:rsidP="00F80101">
            <w:pPr>
              <w:pStyle w:val="BodyText"/>
              <w:spacing w:before="120" w:after="0"/>
              <w:jc w:val="center"/>
              <w:rPr>
                <w:rFonts w:cs="Arial"/>
                <w:color w:val="auto"/>
                <w:szCs w:val="20"/>
              </w:rPr>
            </w:pPr>
            <w:r>
              <w:rPr>
                <w:rFonts w:cs="Arial"/>
                <w:color w:val="auto"/>
                <w:szCs w:val="20"/>
              </w:rPr>
              <w:t>3.5</w:t>
            </w:r>
          </w:p>
        </w:tc>
        <w:tc>
          <w:tcPr>
            <w:tcW w:w="1962"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5</w:t>
            </w:r>
            <w:r w:rsidRPr="006F0EA2">
              <w:rPr>
                <w:rFonts w:cs="Arial"/>
                <w:color w:val="auto"/>
                <w:szCs w:val="20"/>
              </w:rPr>
              <w:t xml:space="preserve"> years</w:t>
            </w:r>
          </w:p>
        </w:tc>
        <w:tc>
          <w:tcPr>
            <w:tcW w:w="1957"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10</w:t>
            </w:r>
            <w:r w:rsidRPr="006F0EA2">
              <w:rPr>
                <w:rFonts w:cs="Arial"/>
                <w:color w:val="auto"/>
                <w:szCs w:val="20"/>
              </w:rPr>
              <w:t>%</w:t>
            </w:r>
          </w:p>
        </w:tc>
        <w:tc>
          <w:tcPr>
            <w:tcW w:w="1956" w:type="dxa"/>
            <w:tcBorders>
              <w:right w:val="single" w:sz="8" w:space="0" w:color="BFBFBF" w:themeColor="background1" w:themeShade="BF"/>
            </w:tcBorders>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Australia-wide</w:t>
            </w:r>
          </w:p>
        </w:tc>
      </w:tr>
      <w:tr w:rsidR="00410F4A" w:rsidRPr="006F0EA2" w:rsidTr="00F80101">
        <w:trPr>
          <w:trHeight w:val="898"/>
          <w:jc w:val="center"/>
        </w:trPr>
        <w:tc>
          <w:tcPr>
            <w:tcW w:w="1975" w:type="dxa"/>
            <w:shd w:val="clear" w:color="auto" w:fill="FFFFFF" w:themeFill="background1"/>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bookmarkStart w:id="0" w:name="_Hlk534701147"/>
            <w:r>
              <w:rPr>
                <w:rFonts w:cs="Arial"/>
                <w:color w:val="auto"/>
                <w:szCs w:val="20"/>
              </w:rPr>
              <w:t>2 June 2020</w:t>
            </w:r>
          </w:p>
          <w:p w:rsidR="00410F4A" w:rsidRPr="006F0EA2" w:rsidRDefault="00410F4A" w:rsidP="00F80101">
            <w:pPr>
              <w:pStyle w:val="BodyText"/>
              <w:spacing w:before="120" w:after="0"/>
              <w:jc w:val="center"/>
              <w:rPr>
                <w:rFonts w:cs="Arial"/>
                <w:i/>
                <w:color w:val="auto"/>
                <w:szCs w:val="20"/>
              </w:rPr>
            </w:pPr>
          </w:p>
        </w:tc>
        <w:tc>
          <w:tcPr>
            <w:tcW w:w="4868" w:type="dxa"/>
            <w:shd w:val="clear" w:color="auto" w:fill="auto"/>
            <w:tcMar>
              <w:top w:w="0" w:type="dxa"/>
              <w:left w:w="108" w:type="dxa"/>
              <w:bottom w:w="0" w:type="dxa"/>
              <w:right w:w="108" w:type="dxa"/>
            </w:tcMar>
            <w:vAlign w:val="center"/>
          </w:tcPr>
          <w:p w:rsidR="00410F4A" w:rsidRPr="00C816C4" w:rsidRDefault="00410F4A" w:rsidP="00F80101">
            <w:pPr>
              <w:autoSpaceDE w:val="0"/>
              <w:autoSpaceDN w:val="0"/>
              <w:adjustRightInd w:val="0"/>
              <w:rPr>
                <w:rFonts w:cs="Arial"/>
                <w:color w:val="auto"/>
                <w:szCs w:val="20"/>
              </w:rPr>
            </w:pPr>
            <w:r>
              <w:rPr>
                <w:rFonts w:cs="Arial"/>
                <w:color w:val="auto"/>
                <w:szCs w:val="20"/>
              </w:rPr>
              <w:t>E</w:t>
            </w:r>
            <w:r w:rsidRPr="000E0DF2">
              <w:rPr>
                <w:rFonts w:cs="Arial"/>
                <w:color w:val="auto"/>
                <w:szCs w:val="20"/>
              </w:rPr>
              <w:t xml:space="preserve">quity investment in a </w:t>
            </w:r>
            <w:r>
              <w:rPr>
                <w:rFonts w:cs="Arial"/>
                <w:color w:val="auto"/>
                <w:szCs w:val="20"/>
              </w:rPr>
              <w:t>managed f</w:t>
            </w:r>
            <w:r w:rsidRPr="000E0DF2">
              <w:rPr>
                <w:rFonts w:cs="Arial"/>
                <w:color w:val="auto"/>
                <w:szCs w:val="20"/>
              </w:rPr>
              <w:t>und focus</w:t>
            </w:r>
            <w:r>
              <w:rPr>
                <w:rFonts w:cs="Arial"/>
                <w:color w:val="auto"/>
                <w:szCs w:val="20"/>
              </w:rPr>
              <w:t>ed</w:t>
            </w:r>
            <w:r w:rsidRPr="000E0DF2">
              <w:rPr>
                <w:rFonts w:cs="Arial"/>
                <w:color w:val="auto"/>
                <w:szCs w:val="20"/>
              </w:rPr>
              <w:t xml:space="preserve"> on driving emissions reduction </w:t>
            </w:r>
          </w:p>
        </w:tc>
        <w:tc>
          <w:tcPr>
            <w:tcW w:w="1264"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Pr>
                <w:rFonts w:cs="Arial"/>
                <w:color w:val="auto"/>
                <w:szCs w:val="20"/>
              </w:rPr>
              <w:t>80</w:t>
            </w:r>
          </w:p>
        </w:tc>
        <w:tc>
          <w:tcPr>
            <w:tcW w:w="1962"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 xml:space="preserve">10 </w:t>
            </w:r>
            <w:r w:rsidRPr="006F0EA2">
              <w:rPr>
                <w:rFonts w:cs="Arial"/>
                <w:color w:val="auto"/>
                <w:szCs w:val="20"/>
              </w:rPr>
              <w:t>years</w:t>
            </w:r>
          </w:p>
        </w:tc>
        <w:tc>
          <w:tcPr>
            <w:tcW w:w="1957"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10</w:t>
            </w:r>
            <w:r w:rsidRPr="006F0EA2">
              <w:rPr>
                <w:rFonts w:cs="Arial"/>
                <w:color w:val="auto"/>
                <w:szCs w:val="20"/>
              </w:rPr>
              <w:t>%</w:t>
            </w:r>
          </w:p>
        </w:tc>
        <w:tc>
          <w:tcPr>
            <w:tcW w:w="1956" w:type="dxa"/>
            <w:tcBorders>
              <w:right w:val="single" w:sz="8" w:space="0" w:color="BFBFBF" w:themeColor="background1" w:themeShade="BF"/>
            </w:tcBorders>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Australia-wide</w:t>
            </w:r>
          </w:p>
        </w:tc>
      </w:tr>
      <w:tr w:rsidR="00410F4A" w:rsidRPr="006F0EA2" w:rsidTr="00F80101">
        <w:trPr>
          <w:trHeight w:val="898"/>
          <w:jc w:val="center"/>
        </w:trPr>
        <w:tc>
          <w:tcPr>
            <w:tcW w:w="1975"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Pr>
                <w:rFonts w:cs="Arial"/>
                <w:color w:val="auto"/>
                <w:szCs w:val="20"/>
              </w:rPr>
              <w:t>9 June 2020</w:t>
            </w:r>
          </w:p>
          <w:p w:rsidR="00410F4A" w:rsidRDefault="00410F4A" w:rsidP="00F80101">
            <w:pPr>
              <w:pStyle w:val="BodyText"/>
              <w:spacing w:before="120" w:after="0"/>
              <w:jc w:val="center"/>
              <w:rPr>
                <w:rFonts w:cs="Arial"/>
                <w:color w:val="auto"/>
                <w:szCs w:val="20"/>
              </w:rPr>
            </w:pPr>
          </w:p>
        </w:tc>
        <w:tc>
          <w:tcPr>
            <w:tcW w:w="4868" w:type="dxa"/>
            <w:shd w:val="clear" w:color="auto" w:fill="auto"/>
            <w:tcMar>
              <w:top w:w="0" w:type="dxa"/>
              <w:left w:w="108" w:type="dxa"/>
              <w:bottom w:w="0" w:type="dxa"/>
              <w:right w:w="108" w:type="dxa"/>
            </w:tcMar>
            <w:vAlign w:val="center"/>
          </w:tcPr>
          <w:p w:rsidR="00410F4A" w:rsidRPr="00C816C4" w:rsidRDefault="00410F4A" w:rsidP="00F80101">
            <w:pPr>
              <w:autoSpaceDE w:val="0"/>
              <w:autoSpaceDN w:val="0"/>
              <w:adjustRightInd w:val="0"/>
              <w:rPr>
                <w:rFonts w:cs="Arial"/>
                <w:color w:val="auto"/>
                <w:szCs w:val="20"/>
              </w:rPr>
            </w:pPr>
            <w:r w:rsidRPr="00C816C4">
              <w:rPr>
                <w:rFonts w:cs="Arial"/>
                <w:color w:val="auto"/>
                <w:szCs w:val="20"/>
              </w:rPr>
              <w:t>Follow-on equity in a utility-scale solar farm</w:t>
            </w:r>
          </w:p>
        </w:tc>
        <w:tc>
          <w:tcPr>
            <w:tcW w:w="1264" w:type="dxa"/>
            <w:shd w:val="clear" w:color="auto" w:fill="auto"/>
            <w:tcMar>
              <w:top w:w="0" w:type="dxa"/>
              <w:left w:w="108" w:type="dxa"/>
              <w:bottom w:w="0" w:type="dxa"/>
              <w:right w:w="108" w:type="dxa"/>
            </w:tcMar>
            <w:vAlign w:val="center"/>
          </w:tcPr>
          <w:p w:rsidR="00410F4A" w:rsidRDefault="00410F4A" w:rsidP="00F80101">
            <w:pPr>
              <w:pStyle w:val="BodyText"/>
              <w:spacing w:before="120" w:after="0"/>
              <w:jc w:val="center"/>
              <w:rPr>
                <w:rFonts w:cs="Arial"/>
                <w:color w:val="auto"/>
                <w:szCs w:val="20"/>
              </w:rPr>
            </w:pPr>
            <w:r w:rsidRPr="006F0EA2">
              <w:rPr>
                <w:rFonts w:cs="Arial"/>
                <w:color w:val="auto"/>
                <w:szCs w:val="20"/>
              </w:rPr>
              <w:t>3.</w:t>
            </w:r>
            <w:r>
              <w:rPr>
                <w:rFonts w:cs="Arial"/>
                <w:color w:val="auto"/>
                <w:szCs w:val="20"/>
              </w:rPr>
              <w:t>3</w:t>
            </w:r>
          </w:p>
        </w:tc>
        <w:tc>
          <w:tcPr>
            <w:tcW w:w="1962"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10 years</w:t>
            </w:r>
          </w:p>
        </w:tc>
        <w:tc>
          <w:tcPr>
            <w:tcW w:w="1957"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7%</w:t>
            </w:r>
          </w:p>
        </w:tc>
        <w:tc>
          <w:tcPr>
            <w:tcW w:w="1956" w:type="dxa"/>
            <w:tcBorders>
              <w:right w:val="single" w:sz="8" w:space="0" w:color="BFBFBF" w:themeColor="background1" w:themeShade="BF"/>
            </w:tcBorders>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VIC</w:t>
            </w:r>
          </w:p>
        </w:tc>
      </w:tr>
      <w:tr w:rsidR="00410F4A" w:rsidRPr="006F0EA2" w:rsidTr="00F80101">
        <w:trPr>
          <w:trHeight w:val="898"/>
          <w:jc w:val="center"/>
        </w:trPr>
        <w:tc>
          <w:tcPr>
            <w:tcW w:w="1975"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bookmarkStart w:id="1" w:name="_Hlk45149196"/>
            <w:r>
              <w:rPr>
                <w:rFonts w:cs="Arial"/>
                <w:color w:val="auto"/>
                <w:szCs w:val="20"/>
              </w:rPr>
              <w:t>19 June 2020</w:t>
            </w:r>
          </w:p>
          <w:p w:rsidR="00410F4A" w:rsidRPr="006F0EA2" w:rsidRDefault="00410F4A" w:rsidP="00F80101">
            <w:pPr>
              <w:pStyle w:val="BodyText"/>
              <w:spacing w:before="120" w:after="0"/>
              <w:jc w:val="center"/>
              <w:rPr>
                <w:rFonts w:cs="Arial"/>
                <w:color w:val="auto"/>
                <w:szCs w:val="20"/>
              </w:rPr>
            </w:pPr>
          </w:p>
        </w:tc>
        <w:tc>
          <w:tcPr>
            <w:tcW w:w="4868" w:type="dxa"/>
            <w:shd w:val="clear" w:color="auto" w:fill="auto"/>
            <w:tcMar>
              <w:top w:w="0" w:type="dxa"/>
              <w:left w:w="108" w:type="dxa"/>
              <w:bottom w:w="0" w:type="dxa"/>
              <w:right w:w="108" w:type="dxa"/>
            </w:tcMar>
            <w:vAlign w:val="center"/>
          </w:tcPr>
          <w:p w:rsidR="00410F4A" w:rsidRPr="00C816C4" w:rsidRDefault="00410F4A" w:rsidP="00F80101">
            <w:pPr>
              <w:autoSpaceDE w:val="0"/>
              <w:autoSpaceDN w:val="0"/>
              <w:adjustRightInd w:val="0"/>
              <w:rPr>
                <w:rFonts w:cs="Arial"/>
                <w:color w:val="auto"/>
                <w:szCs w:val="20"/>
              </w:rPr>
            </w:pPr>
            <w:r w:rsidRPr="00392194">
              <w:rPr>
                <w:rFonts w:cs="Arial"/>
                <w:color w:val="auto"/>
                <w:szCs w:val="20"/>
              </w:rPr>
              <w:t>Inves</w:t>
            </w:r>
            <w:r>
              <w:rPr>
                <w:rFonts w:cs="Arial"/>
                <w:color w:val="auto"/>
                <w:szCs w:val="20"/>
              </w:rPr>
              <w:t xml:space="preserve">tment </w:t>
            </w:r>
            <w:r w:rsidRPr="00392194">
              <w:rPr>
                <w:rFonts w:cs="Arial"/>
                <w:color w:val="auto"/>
                <w:szCs w:val="20"/>
              </w:rPr>
              <w:t>in</w:t>
            </w:r>
            <w:r>
              <w:rPr>
                <w:rFonts w:cs="Arial"/>
                <w:color w:val="auto"/>
                <w:szCs w:val="20"/>
              </w:rPr>
              <w:t xml:space="preserve">to </w:t>
            </w:r>
            <w:r w:rsidRPr="00392194">
              <w:rPr>
                <w:rFonts w:cs="Arial"/>
                <w:color w:val="auto"/>
                <w:szCs w:val="20"/>
              </w:rPr>
              <w:t>a new green bond fund</w:t>
            </w:r>
          </w:p>
        </w:tc>
        <w:tc>
          <w:tcPr>
            <w:tcW w:w="1264"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Pr>
                <w:rFonts w:cs="Arial"/>
                <w:color w:val="auto"/>
                <w:szCs w:val="20"/>
              </w:rPr>
              <w:t>70</w:t>
            </w:r>
          </w:p>
        </w:tc>
        <w:tc>
          <w:tcPr>
            <w:tcW w:w="1962"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 xml:space="preserve">~  </w:t>
            </w:r>
            <w:r>
              <w:rPr>
                <w:rFonts w:cs="Arial"/>
                <w:color w:val="auto"/>
                <w:szCs w:val="20"/>
              </w:rPr>
              <w:t xml:space="preserve">5 </w:t>
            </w:r>
            <w:r w:rsidRPr="006F0EA2">
              <w:rPr>
                <w:rFonts w:cs="Arial"/>
                <w:color w:val="auto"/>
                <w:szCs w:val="20"/>
              </w:rPr>
              <w:t>years</w:t>
            </w:r>
          </w:p>
        </w:tc>
        <w:tc>
          <w:tcPr>
            <w:tcW w:w="1957" w:type="dxa"/>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Pr>
                <w:rFonts w:cs="Arial"/>
                <w:color w:val="auto"/>
                <w:szCs w:val="20"/>
              </w:rPr>
              <w:t>1.3</w:t>
            </w:r>
            <w:r w:rsidRPr="006F0EA2">
              <w:rPr>
                <w:rFonts w:cs="Arial"/>
                <w:color w:val="auto"/>
                <w:szCs w:val="20"/>
              </w:rPr>
              <w:t>%</w:t>
            </w:r>
          </w:p>
        </w:tc>
        <w:tc>
          <w:tcPr>
            <w:tcW w:w="1956" w:type="dxa"/>
            <w:tcBorders>
              <w:right w:val="single" w:sz="8" w:space="0" w:color="BFBFBF" w:themeColor="background1" w:themeShade="BF"/>
            </w:tcBorders>
            <w:shd w:val="clear" w:color="auto" w:fill="auto"/>
            <w:tcMar>
              <w:top w:w="0" w:type="dxa"/>
              <w:left w:w="108" w:type="dxa"/>
              <w:bottom w:w="0" w:type="dxa"/>
              <w:right w:w="108" w:type="dxa"/>
            </w:tcMar>
            <w:vAlign w:val="center"/>
          </w:tcPr>
          <w:p w:rsidR="00410F4A" w:rsidRPr="006F0EA2" w:rsidRDefault="00410F4A" w:rsidP="00F80101">
            <w:pPr>
              <w:pStyle w:val="BodyText"/>
              <w:spacing w:before="120" w:after="0"/>
              <w:jc w:val="center"/>
              <w:rPr>
                <w:rFonts w:cs="Arial"/>
                <w:color w:val="auto"/>
                <w:szCs w:val="20"/>
              </w:rPr>
            </w:pPr>
            <w:r w:rsidRPr="006F0EA2">
              <w:rPr>
                <w:rFonts w:cs="Arial"/>
                <w:color w:val="auto"/>
                <w:szCs w:val="20"/>
              </w:rPr>
              <w:t>Australia-wide</w:t>
            </w:r>
          </w:p>
        </w:tc>
      </w:tr>
    </w:tbl>
    <w:bookmarkEnd w:id="0"/>
    <w:bookmarkEnd w:id="1"/>
    <w:p w:rsidR="00410F4A" w:rsidRPr="003025B2" w:rsidRDefault="00410F4A" w:rsidP="00410F4A">
      <w:pPr>
        <w:pStyle w:val="Heading4"/>
      </w:pPr>
      <w:r w:rsidRPr="003025B2">
        <w:t>Notes</w:t>
      </w:r>
    </w:p>
    <w:p w:rsidR="00410F4A" w:rsidRPr="003025B2" w:rsidRDefault="00410F4A" w:rsidP="00410F4A">
      <w:pPr>
        <w:ind w:right="-1"/>
        <w:rPr>
          <w:rFonts w:cs="Arial"/>
          <w:bCs/>
          <w:color w:val="auto"/>
          <w:szCs w:val="20"/>
        </w:rPr>
      </w:pPr>
      <w:r w:rsidRPr="003025B2">
        <w:rPr>
          <w:rFonts w:cs="Arial"/>
          <w:b/>
          <w:bCs/>
          <w:color w:val="auto"/>
          <w:szCs w:val="20"/>
        </w:rPr>
        <w:t xml:space="preserve">Reporting Period </w:t>
      </w:r>
      <w:r w:rsidRPr="003025B2">
        <w:rPr>
          <w:rFonts w:cs="Arial"/>
          <w:bCs/>
          <w:color w:val="auto"/>
          <w:szCs w:val="20"/>
        </w:rPr>
        <w:t>This report covers investments contracted by the CEFC in the quarter ended 3</w:t>
      </w:r>
      <w:r>
        <w:rPr>
          <w:rFonts w:cs="Arial"/>
          <w:bCs/>
          <w:color w:val="auto"/>
          <w:szCs w:val="20"/>
        </w:rPr>
        <w:t>0</w:t>
      </w:r>
      <w:r w:rsidRPr="003E18E3">
        <w:rPr>
          <w:rFonts w:cs="Arial"/>
          <w:bCs/>
          <w:color w:val="auto"/>
          <w:szCs w:val="20"/>
          <w:vertAlign w:val="superscript"/>
        </w:rPr>
        <w:t>th</w:t>
      </w:r>
      <w:r>
        <w:rPr>
          <w:rFonts w:cs="Arial"/>
          <w:bCs/>
          <w:color w:val="auto"/>
          <w:szCs w:val="20"/>
        </w:rPr>
        <w:t xml:space="preserve"> June 2020</w:t>
      </w:r>
      <w:r w:rsidRPr="003025B2">
        <w:rPr>
          <w:rFonts w:cs="Arial"/>
          <w:bCs/>
          <w:color w:val="auto"/>
          <w:szCs w:val="20"/>
        </w:rPr>
        <w:t xml:space="preserve">. Funding of an investment may take place in one or more quarters, including the period in which the investment is reported and/or subsequent quarters. </w:t>
      </w:r>
    </w:p>
    <w:p w:rsidR="00410F4A" w:rsidRPr="003025B2" w:rsidRDefault="00410F4A" w:rsidP="00410F4A">
      <w:pPr>
        <w:ind w:right="-1"/>
        <w:rPr>
          <w:rFonts w:cs="Arial"/>
          <w:bCs/>
          <w:color w:val="auto"/>
          <w:szCs w:val="20"/>
        </w:rPr>
      </w:pPr>
      <w:r w:rsidRPr="003025B2">
        <w:rPr>
          <w:rFonts w:cs="Arial"/>
          <w:b/>
          <w:bCs/>
          <w:color w:val="auto"/>
          <w:szCs w:val="20"/>
        </w:rPr>
        <w:t>Expected rate of return</w:t>
      </w:r>
      <w:r w:rsidRPr="003025B2">
        <w:rPr>
          <w:rFonts w:cs="Arial"/>
          <w:bCs/>
          <w:color w:val="auto"/>
          <w:szCs w:val="20"/>
        </w:rPr>
        <w:t xml:space="preserve"> includes projected loan interest and fee income from the investment and forecast capital growth and cash yield for equity investments. Projections and forecasts are based on assumptions made at the time the investment is committed, and as such are indicative only, given variables such as the potential for material movement in assumptions between the time of contractual and financial close, establishment fees and costs, floating rates, penalty fees, early repayment fees, capital growth rates for equity investments, etc. </w:t>
      </w:r>
    </w:p>
    <w:p w:rsidR="00410F4A" w:rsidRPr="003025B2" w:rsidRDefault="00410F4A" w:rsidP="00410F4A">
      <w:pPr>
        <w:ind w:right="-1"/>
        <w:rPr>
          <w:rFonts w:cs="Arial"/>
          <w:b/>
          <w:bCs/>
          <w:color w:val="auto"/>
          <w:szCs w:val="20"/>
        </w:rPr>
      </w:pPr>
      <w:r w:rsidRPr="003025B2">
        <w:rPr>
          <w:rFonts w:cs="Arial"/>
          <w:bCs/>
          <w:color w:val="auto"/>
          <w:szCs w:val="20"/>
        </w:rPr>
        <w:lastRenderedPageBreak/>
        <w:t>Each investment’s rate of return is expressed as a forecast annual yield and is calculated over the lifetime of the investment. The annualised forecast lifetime yield is shown in the table above.</w:t>
      </w:r>
    </w:p>
    <w:p w:rsidR="00410F4A" w:rsidRDefault="00410F4A" w:rsidP="00410F4A">
      <w:bookmarkStart w:id="2" w:name="_Hlk37945965"/>
      <w:r w:rsidRPr="004973F6">
        <w:t xml:space="preserve">Returns have not been adjusted for positive externalities or public policy outcomes associated with the investments. </w:t>
      </w:r>
    </w:p>
    <w:p w:rsidR="00410F4A" w:rsidRDefault="00410F4A" w:rsidP="00410F4A">
      <w:r w:rsidRPr="004973F6">
        <w:t xml:space="preserve">The overall performance of the CEFC Portfolio will likely differ from an individual Investment Report and will be impacted by other factors including cash deposit rates etc. </w:t>
      </w:r>
    </w:p>
    <w:p w:rsidR="00410F4A" w:rsidRDefault="00410F4A" w:rsidP="00410F4A">
      <w:r w:rsidRPr="004973F6">
        <w:rPr>
          <w:b/>
          <w:bCs/>
        </w:rPr>
        <w:t>Value ($ million)</w:t>
      </w:r>
      <w:r w:rsidRPr="004973F6">
        <w:t xml:space="preserve"> is contracted CEFC dollars only. It is not indicative of total project funding and is not inclusive of finance contributed by project proponents or other financing parties. </w:t>
      </w:r>
    </w:p>
    <w:p w:rsidR="00410F4A" w:rsidRPr="004973F6" w:rsidRDefault="00410F4A" w:rsidP="00410F4A">
      <w:r w:rsidRPr="004973F6">
        <w:rPr>
          <w:b/>
          <w:bCs/>
        </w:rPr>
        <w:t>Equity Investments</w:t>
      </w:r>
      <w:r w:rsidRPr="004973F6">
        <w:t xml:space="preserve"> generally have no specified investment term or end date. For the purposes of specifying the “Length of Investment” and “Expected Rate of Return” in accordance with section 72 of the CEFC Act (2012), the Corporation has included its best estimate as to the likely exit date for that investment through a liquidity event of some form, and the best estimate of likely return at that time.</w:t>
      </w:r>
      <w:bookmarkEnd w:id="2"/>
    </w:p>
    <w:p w:rsidR="002658CC" w:rsidRPr="00FE186E" w:rsidRDefault="002658CC" w:rsidP="00FE186E"/>
    <w:sectPr w:rsidR="002658CC" w:rsidRPr="00FE186E" w:rsidSect="00410F4A">
      <w:footerReference w:type="default" r:id="rId8"/>
      <w:headerReference w:type="first" r:id="rId9"/>
      <w:footerReference w:type="first" r:id="rId10"/>
      <w:type w:val="continuous"/>
      <w:pgSz w:w="16838" w:h="11906" w:orient="landscape"/>
      <w:pgMar w:top="1418" w:right="1418" w:bottom="1418" w:left="1418"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6473" w:rsidRDefault="009C6473" w:rsidP="00003A15">
      <w:pPr>
        <w:spacing w:after="0"/>
      </w:pPr>
      <w:r>
        <w:separator/>
      </w:r>
    </w:p>
    <w:p w:rsidR="009C6473" w:rsidRDefault="009C6473"/>
  </w:endnote>
  <w:endnote w:type="continuationSeparator" w:id="0">
    <w:p w:rsidR="009C6473" w:rsidRDefault="009C6473" w:rsidP="00003A15">
      <w:pPr>
        <w:spacing w:after="0"/>
      </w:pPr>
      <w:r>
        <w:continuationSeparator/>
      </w:r>
    </w:p>
    <w:p w:rsidR="009C6473" w:rsidRDefault="009C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Com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60"/>
      <w:gridCol w:w="4457"/>
    </w:tblGrid>
    <w:tr w:rsidR="006437D5" w:rsidTr="009142F0">
      <w:tc>
        <w:tcPr>
          <w:tcW w:w="9860" w:type="dxa"/>
        </w:tcPr>
        <w:p w:rsidR="006437D5" w:rsidRPr="00003A15" w:rsidRDefault="006437D5" w:rsidP="00DA3EEE">
          <w:pPr>
            <w:pStyle w:val="Footer"/>
            <w:rPr>
              <w:color w:val="014846" w:themeColor="text2"/>
              <w:sz w:val="12"/>
              <w:szCs w:val="12"/>
            </w:rPr>
          </w:pPr>
        </w:p>
      </w:tc>
      <w:tc>
        <w:tcPr>
          <w:tcW w:w="4457" w:type="dxa"/>
        </w:tcPr>
        <w:p w:rsidR="006437D5" w:rsidRDefault="006437D5" w:rsidP="00DA3EEE">
          <w:pPr>
            <w:pStyle w:val="Footer"/>
          </w:pPr>
        </w:p>
      </w:tc>
    </w:tr>
  </w:tbl>
  <w:p w:rsidR="006437D5" w:rsidRDefault="006437D5" w:rsidP="009142F0">
    <w:pPr>
      <w:tabs>
        <w:tab w:val="left" w:pos="63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997"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30"/>
      <w:gridCol w:w="767"/>
    </w:tblGrid>
    <w:tr w:rsidR="006437D5" w:rsidTr="00C54D9D">
      <w:trPr>
        <w:trHeight w:val="474"/>
      </w:trPr>
      <w:tc>
        <w:tcPr>
          <w:tcW w:w="14230" w:type="dxa"/>
        </w:tcPr>
        <w:p w:rsidR="006437D5" w:rsidRPr="00E848AE" w:rsidRDefault="001B2887" w:rsidP="0070501A">
          <w:pPr>
            <w:pStyle w:val="Footer"/>
            <w:rPr>
              <w:b/>
              <w:bCs/>
              <w:color w:val="014846" w:themeColor="text2"/>
              <w:sz w:val="12"/>
              <w:szCs w:val="12"/>
            </w:rPr>
          </w:pPr>
          <w:r w:rsidRPr="00E848AE">
            <w:rPr>
              <w:b/>
              <w:bCs/>
            </w:rPr>
            <w:t>cefc.com.au</w:t>
          </w:r>
        </w:p>
      </w:tc>
      <w:tc>
        <w:tcPr>
          <w:tcW w:w="767" w:type="dxa"/>
        </w:tcPr>
        <w:sdt>
          <w:sdtPr>
            <w:id w:val="1473327486"/>
            <w:docPartObj>
              <w:docPartGallery w:val="Page Numbers (Bottom of Page)"/>
              <w:docPartUnique/>
            </w:docPartObj>
          </w:sdtPr>
          <w:sdtEndPr>
            <w:rPr>
              <w:noProof/>
            </w:rPr>
          </w:sdtEndPr>
          <w:sdtContent>
            <w:p w:rsidR="006437D5" w:rsidRDefault="006437D5" w:rsidP="009142F0">
              <w:pPr>
                <w:pStyle w:val="Footer"/>
                <w:tabs>
                  <w:tab w:val="center" w:pos="383"/>
                  <w:tab w:val="right" w:pos="767"/>
                </w:tabs>
              </w:pPr>
              <w:r>
                <w:tab/>
              </w:r>
              <w:r>
                <w:tab/>
              </w:r>
              <w:r>
                <w:fldChar w:fldCharType="begin"/>
              </w:r>
              <w:r>
                <w:instrText xml:space="preserve"> PAGE   \* MERGEFORMAT </w:instrText>
              </w:r>
              <w:r>
                <w:fldChar w:fldCharType="separate"/>
              </w:r>
              <w:r>
                <w:t>1</w:t>
              </w:r>
              <w:r>
                <w:rPr>
                  <w:noProof/>
                </w:rPr>
                <w:fldChar w:fldCharType="end"/>
              </w:r>
            </w:p>
          </w:sdtContent>
        </w:sdt>
        <w:p w:rsidR="006437D5" w:rsidRDefault="006437D5" w:rsidP="0070501A">
          <w:pPr>
            <w:pStyle w:val="Footer"/>
          </w:pPr>
        </w:p>
      </w:tc>
    </w:tr>
  </w:tbl>
  <w:p w:rsidR="006437D5" w:rsidRDefault="006437D5">
    <w:pPr>
      <w:pStyle w:val="Footer"/>
    </w:pPr>
  </w:p>
  <w:p w:rsidR="006437D5" w:rsidRDefault="00643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6473" w:rsidRDefault="009C6473" w:rsidP="00003A15">
      <w:pPr>
        <w:spacing w:after="0"/>
      </w:pPr>
      <w:r>
        <w:separator/>
      </w:r>
    </w:p>
    <w:p w:rsidR="009C6473" w:rsidRDefault="009C6473"/>
  </w:footnote>
  <w:footnote w:type="continuationSeparator" w:id="0">
    <w:p w:rsidR="009C6473" w:rsidRDefault="009C6473" w:rsidP="00003A15">
      <w:pPr>
        <w:spacing w:after="0"/>
      </w:pPr>
      <w:r>
        <w:continuationSeparator/>
      </w:r>
    </w:p>
    <w:p w:rsidR="009C6473" w:rsidRDefault="009C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7D5" w:rsidRDefault="00B07B53">
    <w:pPr>
      <w:pStyle w:val="Header"/>
    </w:pPr>
    <w:r>
      <w:rPr>
        <w:noProof/>
      </w:rPr>
      <w:drawing>
        <wp:anchor distT="0" distB="0" distL="114300" distR="114300" simplePos="0" relativeHeight="251657216" behindDoc="0" locked="0" layoutInCell="1" allowOverlap="1" wp14:anchorId="7B13EB45" wp14:editId="4635AC61">
          <wp:simplePos x="0" y="0"/>
          <wp:positionH relativeFrom="page">
            <wp:posOffset>9530569</wp:posOffset>
          </wp:positionH>
          <wp:positionV relativeFrom="page">
            <wp:posOffset>237685</wp:posOffset>
          </wp:positionV>
          <wp:extent cx="936000" cy="93600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heel, gea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rsidR="006437D5" w:rsidRDefault="006437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F00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A0320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C3A2CB6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C26EA86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2983DA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29CD70C"/>
    <w:lvl w:ilvl="0">
      <w:start w:val="1"/>
      <w:numFmt w:val="bullet"/>
      <w:pStyle w:val="ListBullet3"/>
      <w:lvlText w:val="o"/>
      <w:lvlJc w:val="left"/>
      <w:pPr>
        <w:ind w:left="926" w:hanging="360"/>
      </w:pPr>
      <w:rPr>
        <w:rFonts w:ascii="Century Gothic" w:hAnsi="Century Gothic" w:hint="default"/>
        <w:color w:val="000000" w:themeColor="text1"/>
        <w:sz w:val="14"/>
      </w:rPr>
    </w:lvl>
  </w:abstractNum>
  <w:abstractNum w:abstractNumId="6" w15:restartNumberingAfterBreak="0">
    <w:nsid w:val="FFFFFF83"/>
    <w:multiLevelType w:val="singleLevel"/>
    <w:tmpl w:val="8FD6742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ABAECEA"/>
    <w:lvl w:ilvl="0">
      <w:start w:val="1"/>
      <w:numFmt w:val="bullet"/>
      <w:pStyle w:val="ListBullet"/>
      <w:lvlText w:val="–"/>
      <w:lvlJc w:val="left"/>
      <w:pPr>
        <w:tabs>
          <w:tab w:val="num" w:pos="360"/>
        </w:tabs>
        <w:ind w:left="360" w:hanging="360"/>
      </w:pPr>
      <w:rPr>
        <w:rFonts w:ascii="Century Gothic" w:hAnsi="Century Gothic" w:hint="default"/>
      </w:rPr>
    </w:lvl>
  </w:abstractNum>
  <w:abstractNum w:abstractNumId="8" w15:restartNumberingAfterBreak="0">
    <w:nsid w:val="00852E5D"/>
    <w:multiLevelType w:val="multilevel"/>
    <w:tmpl w:val="0248D5A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1454B0"/>
    <w:multiLevelType w:val="multilevel"/>
    <w:tmpl w:val="83E2DE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D03F7"/>
    <w:multiLevelType w:val="hybridMultilevel"/>
    <w:tmpl w:val="46C698C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B05CB3"/>
    <w:multiLevelType w:val="multilevel"/>
    <w:tmpl w:val="5AC0D9DC"/>
    <w:lvl w:ilvl="0">
      <w:start w:val="1"/>
      <w:numFmt w:val="lowerRoman"/>
      <w:pStyle w:val="ListNumber3"/>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FE16E0"/>
    <w:multiLevelType w:val="hybridMultilevel"/>
    <w:tmpl w:val="AB683A96"/>
    <w:lvl w:ilvl="0" w:tplc="0C090001">
      <w:start w:val="1"/>
      <w:numFmt w:val="bullet"/>
      <w:lvlText w:val=""/>
      <w:lvlJc w:val="left"/>
      <w:pPr>
        <w:ind w:left="-278" w:hanging="360"/>
      </w:pPr>
      <w:rPr>
        <w:rFonts w:ascii="Symbol" w:hAnsi="Symbol" w:hint="default"/>
      </w:rPr>
    </w:lvl>
    <w:lvl w:ilvl="1" w:tplc="0C090003" w:tentative="1">
      <w:start w:val="1"/>
      <w:numFmt w:val="bullet"/>
      <w:lvlText w:val="o"/>
      <w:lvlJc w:val="left"/>
      <w:pPr>
        <w:ind w:left="442" w:hanging="360"/>
      </w:pPr>
      <w:rPr>
        <w:rFonts w:ascii="Courier New" w:hAnsi="Courier New" w:cs="Courier New" w:hint="default"/>
      </w:rPr>
    </w:lvl>
    <w:lvl w:ilvl="2" w:tplc="0C090005" w:tentative="1">
      <w:start w:val="1"/>
      <w:numFmt w:val="bullet"/>
      <w:lvlText w:val=""/>
      <w:lvlJc w:val="left"/>
      <w:pPr>
        <w:ind w:left="1162" w:hanging="360"/>
      </w:pPr>
      <w:rPr>
        <w:rFonts w:ascii="Wingdings" w:hAnsi="Wingdings" w:hint="default"/>
      </w:rPr>
    </w:lvl>
    <w:lvl w:ilvl="3" w:tplc="0C090001" w:tentative="1">
      <w:start w:val="1"/>
      <w:numFmt w:val="bullet"/>
      <w:lvlText w:val=""/>
      <w:lvlJc w:val="left"/>
      <w:pPr>
        <w:ind w:left="1882" w:hanging="360"/>
      </w:pPr>
      <w:rPr>
        <w:rFonts w:ascii="Symbol" w:hAnsi="Symbol" w:hint="default"/>
      </w:rPr>
    </w:lvl>
    <w:lvl w:ilvl="4" w:tplc="0C090003" w:tentative="1">
      <w:start w:val="1"/>
      <w:numFmt w:val="bullet"/>
      <w:lvlText w:val="o"/>
      <w:lvlJc w:val="left"/>
      <w:pPr>
        <w:ind w:left="2602" w:hanging="360"/>
      </w:pPr>
      <w:rPr>
        <w:rFonts w:ascii="Courier New" w:hAnsi="Courier New" w:cs="Courier New" w:hint="default"/>
      </w:rPr>
    </w:lvl>
    <w:lvl w:ilvl="5" w:tplc="0C090005" w:tentative="1">
      <w:start w:val="1"/>
      <w:numFmt w:val="bullet"/>
      <w:lvlText w:val=""/>
      <w:lvlJc w:val="left"/>
      <w:pPr>
        <w:ind w:left="3322" w:hanging="360"/>
      </w:pPr>
      <w:rPr>
        <w:rFonts w:ascii="Wingdings" w:hAnsi="Wingdings" w:hint="default"/>
      </w:rPr>
    </w:lvl>
    <w:lvl w:ilvl="6" w:tplc="0C090001" w:tentative="1">
      <w:start w:val="1"/>
      <w:numFmt w:val="bullet"/>
      <w:lvlText w:val=""/>
      <w:lvlJc w:val="left"/>
      <w:pPr>
        <w:ind w:left="4042" w:hanging="360"/>
      </w:pPr>
      <w:rPr>
        <w:rFonts w:ascii="Symbol" w:hAnsi="Symbol" w:hint="default"/>
      </w:rPr>
    </w:lvl>
    <w:lvl w:ilvl="7" w:tplc="0C090003" w:tentative="1">
      <w:start w:val="1"/>
      <w:numFmt w:val="bullet"/>
      <w:lvlText w:val="o"/>
      <w:lvlJc w:val="left"/>
      <w:pPr>
        <w:ind w:left="4762" w:hanging="360"/>
      </w:pPr>
      <w:rPr>
        <w:rFonts w:ascii="Courier New" w:hAnsi="Courier New" w:cs="Courier New" w:hint="default"/>
      </w:rPr>
    </w:lvl>
    <w:lvl w:ilvl="8" w:tplc="0C090005" w:tentative="1">
      <w:start w:val="1"/>
      <w:numFmt w:val="bullet"/>
      <w:lvlText w:val=""/>
      <w:lvlJc w:val="left"/>
      <w:pPr>
        <w:ind w:left="5482" w:hanging="360"/>
      </w:pPr>
      <w:rPr>
        <w:rFonts w:ascii="Wingdings" w:hAnsi="Wingdings" w:hint="default"/>
      </w:rPr>
    </w:lvl>
  </w:abstractNum>
  <w:abstractNum w:abstractNumId="13" w15:restartNumberingAfterBreak="0">
    <w:nsid w:val="303C393D"/>
    <w:multiLevelType w:val="hybridMultilevel"/>
    <w:tmpl w:val="25663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C16465"/>
    <w:multiLevelType w:val="hybridMultilevel"/>
    <w:tmpl w:val="E15077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5C2211"/>
    <w:multiLevelType w:val="hybridMultilevel"/>
    <w:tmpl w:val="5EDC8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B207D91"/>
    <w:multiLevelType w:val="hybridMultilevel"/>
    <w:tmpl w:val="F5068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42FE3"/>
    <w:multiLevelType w:val="multilevel"/>
    <w:tmpl w:val="4B2A1B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D0E5E"/>
    <w:multiLevelType w:val="multilevel"/>
    <w:tmpl w:val="150A997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726F34"/>
    <w:multiLevelType w:val="multilevel"/>
    <w:tmpl w:val="0248D5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560616"/>
    <w:multiLevelType w:val="multilevel"/>
    <w:tmpl w:val="70D2C0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0A1403"/>
    <w:multiLevelType w:val="hybridMultilevel"/>
    <w:tmpl w:val="C986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707306"/>
    <w:multiLevelType w:val="hybridMultilevel"/>
    <w:tmpl w:val="1F94D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AD5E21"/>
    <w:multiLevelType w:val="multilevel"/>
    <w:tmpl w:val="BC385E22"/>
    <w:lvl w:ilvl="0">
      <w:start w:val="1"/>
      <w:numFmt w:val="lowerLetter"/>
      <w:pStyle w:val="ListNumber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ED2B56"/>
    <w:multiLevelType w:val="hybridMultilevel"/>
    <w:tmpl w:val="84F676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0013BB"/>
    <w:multiLevelType w:val="hybridMultilevel"/>
    <w:tmpl w:val="27567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5978C6"/>
    <w:multiLevelType w:val="hybridMultilevel"/>
    <w:tmpl w:val="CB3694CE"/>
    <w:lvl w:ilvl="0" w:tplc="3942E8AA">
      <w:start w:val="1"/>
      <w:numFmt w:val="decimal"/>
      <w:lvlText w:val="%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7"/>
  </w:num>
  <w:num w:numId="2">
    <w:abstractNumId w:val="6"/>
  </w:num>
  <w:num w:numId="3">
    <w:abstractNumId w:val="5"/>
  </w:num>
  <w:num w:numId="4">
    <w:abstractNumId w:val="4"/>
  </w:num>
  <w:num w:numId="5">
    <w:abstractNumId w:val="3"/>
  </w:num>
  <w:num w:numId="6">
    <w:abstractNumId w:val="8"/>
  </w:num>
  <w:num w:numId="7">
    <w:abstractNumId w:val="23"/>
  </w:num>
  <w:num w:numId="8">
    <w:abstractNumId w:val="11"/>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2"/>
  </w:num>
  <w:num w:numId="23">
    <w:abstractNumId w:val="13"/>
  </w:num>
  <w:num w:numId="24">
    <w:abstractNumId w:val="22"/>
  </w:num>
  <w:num w:numId="25">
    <w:abstractNumId w:val="16"/>
  </w:num>
  <w:num w:numId="26">
    <w:abstractNumId w:val="14"/>
  </w:num>
  <w:num w:numId="27">
    <w:abstractNumId w:val="10"/>
  </w:num>
  <w:num w:numId="28">
    <w:abstractNumId w:val="21"/>
  </w:num>
  <w:num w:numId="29">
    <w:abstractNumId w:val="25"/>
  </w:num>
  <w:num w:numId="30">
    <w:abstractNumId w:val="15"/>
  </w:num>
  <w:num w:numId="31">
    <w:abstractNumId w:val="26"/>
  </w:num>
  <w:num w:numId="32">
    <w:abstractNumId w:val="9"/>
  </w:num>
  <w:num w:numId="33">
    <w:abstractNumId w:val="20"/>
  </w:num>
  <w:num w:numId="34">
    <w:abstractNumId w:val="18"/>
  </w:num>
  <w:num w:numId="35">
    <w:abstractNumId w:val="9"/>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4A"/>
    <w:rsid w:val="00003A15"/>
    <w:rsid w:val="00026E0F"/>
    <w:rsid w:val="000561F5"/>
    <w:rsid w:val="00071BDA"/>
    <w:rsid w:val="000A1C2C"/>
    <w:rsid w:val="000A67AE"/>
    <w:rsid w:val="000F1367"/>
    <w:rsid w:val="00106F17"/>
    <w:rsid w:val="00114E10"/>
    <w:rsid w:val="0013676F"/>
    <w:rsid w:val="00156451"/>
    <w:rsid w:val="001647DD"/>
    <w:rsid w:val="00192094"/>
    <w:rsid w:val="001A147A"/>
    <w:rsid w:val="001B2887"/>
    <w:rsid w:val="001C62E7"/>
    <w:rsid w:val="001D0614"/>
    <w:rsid w:val="00202553"/>
    <w:rsid w:val="002036E2"/>
    <w:rsid w:val="002658CC"/>
    <w:rsid w:val="00285B68"/>
    <w:rsid w:val="002B6751"/>
    <w:rsid w:val="002E5248"/>
    <w:rsid w:val="003009A6"/>
    <w:rsid w:val="00304F4E"/>
    <w:rsid w:val="00351063"/>
    <w:rsid w:val="00356FF8"/>
    <w:rsid w:val="003840E4"/>
    <w:rsid w:val="003D2486"/>
    <w:rsid w:val="00402260"/>
    <w:rsid w:val="00410F4A"/>
    <w:rsid w:val="00444AA3"/>
    <w:rsid w:val="00462096"/>
    <w:rsid w:val="004C636D"/>
    <w:rsid w:val="004D6694"/>
    <w:rsid w:val="00527FBF"/>
    <w:rsid w:val="005B4EE9"/>
    <w:rsid w:val="005B62D0"/>
    <w:rsid w:val="005C3088"/>
    <w:rsid w:val="005E53B1"/>
    <w:rsid w:val="005F19B6"/>
    <w:rsid w:val="005F3B77"/>
    <w:rsid w:val="00606D00"/>
    <w:rsid w:val="006437D5"/>
    <w:rsid w:val="006538EE"/>
    <w:rsid w:val="00654B20"/>
    <w:rsid w:val="00655C48"/>
    <w:rsid w:val="00675DE4"/>
    <w:rsid w:val="00683659"/>
    <w:rsid w:val="00692F9F"/>
    <w:rsid w:val="00701C29"/>
    <w:rsid w:val="0070501A"/>
    <w:rsid w:val="007255E8"/>
    <w:rsid w:val="00726EE6"/>
    <w:rsid w:val="0074075A"/>
    <w:rsid w:val="00787E00"/>
    <w:rsid w:val="00793FA5"/>
    <w:rsid w:val="007B7D11"/>
    <w:rsid w:val="008C0C3E"/>
    <w:rsid w:val="008D522A"/>
    <w:rsid w:val="008F48B9"/>
    <w:rsid w:val="00910F25"/>
    <w:rsid w:val="009142F0"/>
    <w:rsid w:val="009364B2"/>
    <w:rsid w:val="00970319"/>
    <w:rsid w:val="0097498A"/>
    <w:rsid w:val="00981E14"/>
    <w:rsid w:val="00990C11"/>
    <w:rsid w:val="009C6473"/>
    <w:rsid w:val="009D7CBD"/>
    <w:rsid w:val="00A63343"/>
    <w:rsid w:val="00A72FE2"/>
    <w:rsid w:val="00AB53F6"/>
    <w:rsid w:val="00B07B53"/>
    <w:rsid w:val="00B21E40"/>
    <w:rsid w:val="00BB1949"/>
    <w:rsid w:val="00BC21EA"/>
    <w:rsid w:val="00BD6E5D"/>
    <w:rsid w:val="00C028F7"/>
    <w:rsid w:val="00C43C9A"/>
    <w:rsid w:val="00C54D9D"/>
    <w:rsid w:val="00C7778F"/>
    <w:rsid w:val="00CE68DA"/>
    <w:rsid w:val="00D12BAC"/>
    <w:rsid w:val="00D13CF8"/>
    <w:rsid w:val="00D36C88"/>
    <w:rsid w:val="00D64091"/>
    <w:rsid w:val="00D74458"/>
    <w:rsid w:val="00D77270"/>
    <w:rsid w:val="00DA2E88"/>
    <w:rsid w:val="00DA3EEE"/>
    <w:rsid w:val="00DC4DE9"/>
    <w:rsid w:val="00DF503D"/>
    <w:rsid w:val="00E13031"/>
    <w:rsid w:val="00E50644"/>
    <w:rsid w:val="00E51DC9"/>
    <w:rsid w:val="00E65BB8"/>
    <w:rsid w:val="00E848AE"/>
    <w:rsid w:val="00E94EB9"/>
    <w:rsid w:val="00EB60BC"/>
    <w:rsid w:val="00EF2ED7"/>
    <w:rsid w:val="00F2744C"/>
    <w:rsid w:val="00F32E0C"/>
    <w:rsid w:val="00F4098D"/>
    <w:rsid w:val="00F52060"/>
    <w:rsid w:val="00F557F6"/>
    <w:rsid w:val="00F7461B"/>
    <w:rsid w:val="00FB7F48"/>
    <w:rsid w:val="00FC7017"/>
    <w:rsid w:val="00FE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91ADF-CC39-B24A-AA91-117F1D4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9F"/>
    <w:pPr>
      <w:spacing w:before="180" w:after="60" w:line="240" w:lineRule="auto"/>
    </w:pPr>
    <w:rPr>
      <w:color w:val="000000" w:themeColor="text1"/>
      <w:sz w:val="20"/>
    </w:rPr>
  </w:style>
  <w:style w:type="paragraph" w:styleId="Heading1">
    <w:name w:val="heading 1"/>
    <w:basedOn w:val="Normal"/>
    <w:next w:val="Normal"/>
    <w:link w:val="Heading1Char"/>
    <w:uiPriority w:val="9"/>
    <w:qFormat/>
    <w:rsid w:val="00A72FE2"/>
    <w:pPr>
      <w:keepNext/>
      <w:keepLines/>
      <w:outlineLvl w:val="0"/>
    </w:pPr>
    <w:rPr>
      <w:rFonts w:asciiTheme="majorHAnsi" w:eastAsiaTheme="majorEastAsia" w:hAnsiTheme="majorHAnsi" w:cstheme="majorBidi"/>
      <w:b/>
      <w:color w:val="00C752" w:themeColor="accent1"/>
      <w:sz w:val="36"/>
      <w:szCs w:val="32"/>
    </w:rPr>
  </w:style>
  <w:style w:type="paragraph" w:styleId="Heading2">
    <w:name w:val="heading 2"/>
    <w:basedOn w:val="Heading1"/>
    <w:next w:val="BodyText"/>
    <w:link w:val="Heading2Char"/>
    <w:uiPriority w:val="9"/>
    <w:unhideWhenUsed/>
    <w:qFormat/>
    <w:rsid w:val="006437D5"/>
    <w:pPr>
      <w:numPr>
        <w:ilvl w:val="1"/>
      </w:numPr>
      <w:ind w:left="851" w:hanging="851"/>
      <w:outlineLvl w:val="1"/>
    </w:pPr>
    <w:rPr>
      <w:bCs/>
      <w:color w:val="014846" w:themeColor="text2"/>
      <w:sz w:val="32"/>
      <w:szCs w:val="26"/>
    </w:rPr>
  </w:style>
  <w:style w:type="paragraph" w:styleId="Heading3">
    <w:name w:val="heading 3"/>
    <w:basedOn w:val="Heading1"/>
    <w:next w:val="BodyText"/>
    <w:link w:val="Heading3Char"/>
    <w:uiPriority w:val="9"/>
    <w:unhideWhenUsed/>
    <w:qFormat/>
    <w:rsid w:val="006437D5"/>
    <w:pPr>
      <w:numPr>
        <w:ilvl w:val="2"/>
      </w:numPr>
      <w:ind w:left="851" w:hanging="851"/>
      <w:outlineLvl w:val="2"/>
    </w:pPr>
    <w:rPr>
      <w:b w:val="0"/>
      <w:bCs/>
      <w:sz w:val="28"/>
      <w:szCs w:val="24"/>
    </w:rPr>
  </w:style>
  <w:style w:type="paragraph" w:styleId="Heading4">
    <w:name w:val="heading 4"/>
    <w:basedOn w:val="Normal"/>
    <w:next w:val="Normal"/>
    <w:link w:val="Heading4Char"/>
    <w:uiPriority w:val="9"/>
    <w:unhideWhenUsed/>
    <w:qFormat/>
    <w:rsid w:val="00692F9F"/>
    <w:pPr>
      <w:keepNext/>
      <w:keepLines/>
      <w:outlineLvl w:val="3"/>
    </w:pPr>
    <w:rPr>
      <w:rFonts w:asciiTheme="majorHAnsi" w:eastAsiaTheme="majorEastAsia" w:hAnsiTheme="majorHAnsi" w:cstheme="majorBidi"/>
      <w:iCs/>
      <w:color w:val="014846"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E5248"/>
    <w:pPr>
      <w:tabs>
        <w:tab w:val="center" w:pos="4513"/>
        <w:tab w:val="right" w:pos="9026"/>
      </w:tabs>
      <w:spacing w:before="0" w:after="0"/>
    </w:pPr>
    <w:rPr>
      <w:color w:val="00C752" w:themeColor="accent1"/>
      <w:sz w:val="16"/>
    </w:rPr>
  </w:style>
  <w:style w:type="character" w:customStyle="1" w:styleId="HeaderChar">
    <w:name w:val="Header Char"/>
    <w:basedOn w:val="DefaultParagraphFont"/>
    <w:link w:val="Header"/>
    <w:uiPriority w:val="99"/>
    <w:rsid w:val="002E5248"/>
    <w:rPr>
      <w:color w:val="00C752" w:themeColor="accent1"/>
      <w:sz w:val="16"/>
    </w:rPr>
  </w:style>
  <w:style w:type="paragraph" w:styleId="Footer">
    <w:name w:val="footer"/>
    <w:basedOn w:val="Normal"/>
    <w:link w:val="FooterChar"/>
    <w:uiPriority w:val="99"/>
    <w:unhideWhenUsed/>
    <w:qFormat/>
    <w:rsid w:val="002E5248"/>
    <w:pPr>
      <w:tabs>
        <w:tab w:val="center" w:pos="4513"/>
        <w:tab w:val="right" w:pos="9026"/>
      </w:tabs>
      <w:spacing w:before="0" w:after="0"/>
    </w:pPr>
    <w:rPr>
      <w:color w:val="00C752" w:themeColor="accent1"/>
      <w:sz w:val="16"/>
    </w:rPr>
  </w:style>
  <w:style w:type="character" w:customStyle="1" w:styleId="FooterChar">
    <w:name w:val="Footer Char"/>
    <w:basedOn w:val="DefaultParagraphFont"/>
    <w:link w:val="Footer"/>
    <w:uiPriority w:val="99"/>
    <w:rsid w:val="002E5248"/>
    <w:rPr>
      <w:color w:val="00C752" w:themeColor="accent1"/>
      <w:sz w:val="16"/>
    </w:rPr>
  </w:style>
  <w:style w:type="table" w:styleId="TableGrid">
    <w:name w:val="Table Grid"/>
    <w:basedOn w:val="TableNormal"/>
    <w:uiPriority w:val="59"/>
    <w:rsid w:val="000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620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EFCTableSimple">
    <w:name w:val="CEFC Table Simple"/>
    <w:basedOn w:val="TableNormal"/>
    <w:uiPriority w:val="99"/>
    <w:rsid w:val="00D77270"/>
    <w:pPr>
      <w:spacing w:after="0" w:line="240" w:lineRule="auto"/>
    </w:pPr>
    <w:rPr>
      <w:color w:val="414042" w:themeColor="accent3"/>
    </w:rPr>
    <w:tblPr>
      <w:tblStyleRowBandSize w:val="1"/>
      <w:tblBorders>
        <w:bottom w:val="single" w:sz="4" w:space="0" w:color="939589" w:themeColor="accent4"/>
      </w:tblBorders>
      <w:tblCellMar>
        <w:top w:w="284" w:type="dxa"/>
        <w:left w:w="0" w:type="dxa"/>
        <w:bottom w:w="57" w:type="dxa"/>
        <w:right w:w="0" w:type="dxa"/>
      </w:tblCellMar>
    </w:tblPr>
    <w:tcPr>
      <w:vAlign w:val="bottom"/>
    </w:tcPr>
    <w:tblStylePr w:type="firstRow">
      <w:tblPr/>
      <w:tcPr>
        <w:tcBorders>
          <w:top w:val="nil"/>
          <w:bottom w:val="single" w:sz="4" w:space="0" w:color="939589" w:themeColor="accent4"/>
        </w:tcBorders>
      </w:tcPr>
    </w:tblStylePr>
    <w:tblStylePr w:type="band1Horz">
      <w:tblPr/>
      <w:tcPr>
        <w:tcBorders>
          <w:bottom w:val="single" w:sz="4" w:space="0" w:color="939589" w:themeColor="accent4"/>
        </w:tcBorders>
      </w:tcPr>
    </w:tblStylePr>
    <w:tblStylePr w:type="band2Horz">
      <w:tblPr/>
      <w:tcPr>
        <w:tcBorders>
          <w:bottom w:val="single" w:sz="4" w:space="0" w:color="939589" w:themeColor="accent4"/>
        </w:tcBorders>
      </w:tcPr>
    </w:tblStylePr>
  </w:style>
  <w:style w:type="paragraph" w:customStyle="1" w:styleId="TableHeading1">
    <w:name w:val="Table Heading 1"/>
    <w:basedOn w:val="Normal"/>
    <w:qFormat/>
    <w:rsid w:val="00F4098D"/>
    <w:rPr>
      <w:b/>
      <w:bCs/>
      <w:color w:val="FFFFFF" w:themeColor="background1"/>
      <w:szCs w:val="24"/>
    </w:rPr>
  </w:style>
  <w:style w:type="paragraph" w:customStyle="1" w:styleId="TableBodyText">
    <w:name w:val="Table Body Text"/>
    <w:basedOn w:val="Normal"/>
    <w:qFormat/>
    <w:rsid w:val="00F4098D"/>
  </w:style>
  <w:style w:type="paragraph" w:styleId="BodyText">
    <w:name w:val="Body Text"/>
    <w:basedOn w:val="Normal"/>
    <w:link w:val="BodyTextChar"/>
    <w:uiPriority w:val="99"/>
    <w:unhideWhenUsed/>
    <w:qFormat/>
    <w:rsid w:val="00C43C9A"/>
  </w:style>
  <w:style w:type="character" w:customStyle="1" w:styleId="BodyTextChar">
    <w:name w:val="Body Text Char"/>
    <w:basedOn w:val="DefaultParagraphFont"/>
    <w:link w:val="BodyText"/>
    <w:uiPriority w:val="99"/>
    <w:rsid w:val="00C43C9A"/>
    <w:rPr>
      <w:color w:val="414042" w:themeColor="accent3"/>
      <w:sz w:val="20"/>
    </w:rPr>
  </w:style>
  <w:style w:type="character" w:customStyle="1" w:styleId="Heading1Char">
    <w:name w:val="Heading 1 Char"/>
    <w:basedOn w:val="DefaultParagraphFont"/>
    <w:link w:val="Heading1"/>
    <w:uiPriority w:val="9"/>
    <w:rsid w:val="006437D5"/>
    <w:rPr>
      <w:rFonts w:asciiTheme="majorHAnsi" w:eastAsiaTheme="majorEastAsia" w:hAnsiTheme="majorHAnsi" w:cstheme="majorBidi"/>
      <w:b/>
      <w:color w:val="00C752" w:themeColor="accent1"/>
      <w:sz w:val="36"/>
      <w:szCs w:val="32"/>
    </w:rPr>
  </w:style>
  <w:style w:type="character" w:customStyle="1" w:styleId="Heading2Char">
    <w:name w:val="Heading 2 Char"/>
    <w:basedOn w:val="DefaultParagraphFont"/>
    <w:link w:val="Heading2"/>
    <w:uiPriority w:val="9"/>
    <w:rsid w:val="006437D5"/>
    <w:rPr>
      <w:rFonts w:asciiTheme="majorHAnsi" w:eastAsiaTheme="majorEastAsia" w:hAnsiTheme="majorHAnsi" w:cstheme="majorBidi"/>
      <w:b/>
      <w:bCs/>
      <w:color w:val="014846" w:themeColor="text2"/>
      <w:sz w:val="32"/>
      <w:szCs w:val="26"/>
    </w:rPr>
  </w:style>
  <w:style w:type="character" w:customStyle="1" w:styleId="Heading3Char">
    <w:name w:val="Heading 3 Char"/>
    <w:basedOn w:val="DefaultParagraphFont"/>
    <w:link w:val="Heading3"/>
    <w:uiPriority w:val="9"/>
    <w:rsid w:val="006437D5"/>
    <w:rPr>
      <w:rFonts w:asciiTheme="majorHAnsi" w:eastAsiaTheme="majorEastAsia" w:hAnsiTheme="majorHAnsi" w:cstheme="majorBidi"/>
      <w:bCs/>
      <w:color w:val="00C752" w:themeColor="accent1"/>
      <w:sz w:val="28"/>
      <w:szCs w:val="24"/>
    </w:rPr>
  </w:style>
  <w:style w:type="character" w:customStyle="1" w:styleId="Heading4Char">
    <w:name w:val="Heading 4 Char"/>
    <w:basedOn w:val="DefaultParagraphFont"/>
    <w:link w:val="Heading4"/>
    <w:uiPriority w:val="9"/>
    <w:rsid w:val="00692F9F"/>
    <w:rPr>
      <w:rFonts w:asciiTheme="majorHAnsi" w:eastAsiaTheme="majorEastAsia" w:hAnsiTheme="majorHAnsi" w:cstheme="majorBidi"/>
      <w:iCs/>
      <w:color w:val="014846" w:themeColor="text2"/>
      <w:sz w:val="24"/>
    </w:rPr>
  </w:style>
  <w:style w:type="paragraph" w:styleId="Title">
    <w:name w:val="Title"/>
    <w:basedOn w:val="Normal"/>
    <w:next w:val="Normal"/>
    <w:link w:val="TitleChar"/>
    <w:uiPriority w:val="10"/>
    <w:qFormat/>
    <w:rsid w:val="00F4098D"/>
    <w:pPr>
      <w:contextualSpacing/>
    </w:pPr>
    <w:rPr>
      <w:rFonts w:asciiTheme="majorHAnsi" w:eastAsiaTheme="majorEastAsia" w:hAnsiTheme="majorHAnsi" w:cstheme="majorBidi"/>
      <w:b/>
      <w:color w:val="00C752" w:themeColor="accent1"/>
      <w:spacing w:val="-10"/>
      <w:kern w:val="28"/>
      <w:szCs w:val="56"/>
    </w:rPr>
  </w:style>
  <w:style w:type="character" w:customStyle="1" w:styleId="TitleChar">
    <w:name w:val="Title Char"/>
    <w:basedOn w:val="DefaultParagraphFont"/>
    <w:link w:val="Title"/>
    <w:uiPriority w:val="10"/>
    <w:rsid w:val="00F4098D"/>
    <w:rPr>
      <w:rFonts w:asciiTheme="majorHAnsi" w:eastAsiaTheme="majorEastAsia" w:hAnsiTheme="majorHAnsi" w:cstheme="majorBidi"/>
      <w:b/>
      <w:color w:val="00C752" w:themeColor="accent1"/>
      <w:spacing w:val="-10"/>
      <w:kern w:val="28"/>
      <w:sz w:val="20"/>
      <w:szCs w:val="56"/>
    </w:rPr>
  </w:style>
  <w:style w:type="paragraph" w:styleId="Subtitle">
    <w:name w:val="Subtitle"/>
    <w:basedOn w:val="Normal"/>
    <w:next w:val="Normal"/>
    <w:link w:val="SubtitleChar"/>
    <w:uiPriority w:val="11"/>
    <w:qFormat/>
    <w:rsid w:val="00F4098D"/>
    <w:pPr>
      <w:numPr>
        <w:ilvl w:val="1"/>
      </w:numPr>
    </w:pPr>
    <w:rPr>
      <w:rFonts w:eastAsiaTheme="minorEastAsia"/>
      <w:b/>
      <w:color w:val="014846" w:themeColor="text2"/>
      <w:spacing w:val="15"/>
    </w:rPr>
  </w:style>
  <w:style w:type="character" w:customStyle="1" w:styleId="SubtitleChar">
    <w:name w:val="Subtitle Char"/>
    <w:basedOn w:val="DefaultParagraphFont"/>
    <w:link w:val="Subtitle"/>
    <w:uiPriority w:val="11"/>
    <w:rsid w:val="00F4098D"/>
    <w:rPr>
      <w:rFonts w:eastAsiaTheme="minorEastAsia"/>
      <w:b/>
      <w:color w:val="014846" w:themeColor="text2"/>
      <w:spacing w:val="15"/>
      <w:sz w:val="20"/>
    </w:rPr>
  </w:style>
  <w:style w:type="paragraph" w:customStyle="1" w:styleId="EmphasisCEFC">
    <w:name w:val="Emphasis CEFC"/>
    <w:basedOn w:val="Normal"/>
    <w:qFormat/>
    <w:rsid w:val="00692F9F"/>
    <w:rPr>
      <w:b/>
      <w:i/>
      <w:color w:val="014846" w:themeColor="text2"/>
    </w:rPr>
  </w:style>
  <w:style w:type="paragraph" w:customStyle="1" w:styleId="SubtitleEmphasisCEFC">
    <w:name w:val="Subtitle Emphasis CEFC"/>
    <w:basedOn w:val="EmphasisCEFC"/>
    <w:qFormat/>
    <w:rsid w:val="00FB7F48"/>
    <w:rPr>
      <w:b w:val="0"/>
    </w:rPr>
  </w:style>
  <w:style w:type="paragraph" w:customStyle="1" w:styleId="SubtitleEmphasisCEFC2">
    <w:name w:val="Subtitle Emphasis CEFC 2"/>
    <w:basedOn w:val="SubtitleEmphasisCEFC"/>
    <w:qFormat/>
    <w:rsid w:val="001A147A"/>
    <w:rPr>
      <w:b/>
      <w:color w:val="000000" w:themeColor="text1"/>
    </w:rPr>
  </w:style>
  <w:style w:type="paragraph" w:customStyle="1" w:styleId="IntenseEmphasisCEFC">
    <w:name w:val="Intense Emphasis CEFC"/>
    <w:basedOn w:val="EmphasisCEFC"/>
    <w:qFormat/>
    <w:rsid w:val="00692F9F"/>
    <w:rPr>
      <w:i w:val="0"/>
      <w:color w:val="00C752" w:themeColor="accent1"/>
    </w:rPr>
  </w:style>
  <w:style w:type="paragraph" w:customStyle="1" w:styleId="StrongCEFC">
    <w:name w:val="Strong CEFC"/>
    <w:basedOn w:val="Normal"/>
    <w:qFormat/>
    <w:rsid w:val="00F4098D"/>
    <w:rPr>
      <w:b/>
      <w:color w:val="014846" w:themeColor="text2"/>
    </w:rPr>
  </w:style>
  <w:style w:type="paragraph" w:styleId="Quote">
    <w:name w:val="Quote"/>
    <w:basedOn w:val="Normal"/>
    <w:next w:val="Normal"/>
    <w:link w:val="QuoteChar"/>
    <w:uiPriority w:val="29"/>
    <w:qFormat/>
    <w:rsid w:val="00F4098D"/>
    <w:rPr>
      <w:i/>
      <w:iCs/>
      <w:color w:val="014846" w:themeColor="text2"/>
      <w:sz w:val="32"/>
    </w:rPr>
  </w:style>
  <w:style w:type="character" w:customStyle="1" w:styleId="QuoteChar">
    <w:name w:val="Quote Char"/>
    <w:basedOn w:val="DefaultParagraphFont"/>
    <w:link w:val="Quote"/>
    <w:uiPriority w:val="29"/>
    <w:rsid w:val="00F4098D"/>
    <w:rPr>
      <w:i/>
      <w:iCs/>
      <w:color w:val="014846" w:themeColor="text2"/>
      <w:sz w:val="32"/>
    </w:rPr>
  </w:style>
  <w:style w:type="paragraph" w:styleId="ListBullet">
    <w:name w:val="List Bullet"/>
    <w:basedOn w:val="Normal"/>
    <w:uiPriority w:val="99"/>
    <w:unhideWhenUsed/>
    <w:qFormat/>
    <w:rsid w:val="008F48B9"/>
    <w:pPr>
      <w:numPr>
        <w:numId w:val="1"/>
      </w:numPr>
      <w:tabs>
        <w:tab w:val="clear" w:pos="360"/>
      </w:tabs>
      <w:spacing w:before="0"/>
      <w:ind w:left="357" w:hanging="357"/>
    </w:pPr>
  </w:style>
  <w:style w:type="paragraph" w:styleId="ListBullet2">
    <w:name w:val="List Bullet 2"/>
    <w:basedOn w:val="Normal"/>
    <w:uiPriority w:val="99"/>
    <w:unhideWhenUsed/>
    <w:qFormat/>
    <w:rsid w:val="00606D00"/>
    <w:pPr>
      <w:numPr>
        <w:numId w:val="2"/>
      </w:numPr>
      <w:tabs>
        <w:tab w:val="clear" w:pos="643"/>
      </w:tabs>
      <w:ind w:left="714" w:hanging="357"/>
    </w:pPr>
  </w:style>
  <w:style w:type="paragraph" w:styleId="ListBullet3">
    <w:name w:val="List Bullet 3"/>
    <w:basedOn w:val="Normal"/>
    <w:uiPriority w:val="99"/>
    <w:unhideWhenUsed/>
    <w:qFormat/>
    <w:rsid w:val="00F7461B"/>
    <w:pPr>
      <w:numPr>
        <w:numId w:val="3"/>
      </w:numPr>
      <w:spacing w:before="0"/>
      <w:ind w:left="1071" w:hanging="357"/>
    </w:pPr>
  </w:style>
  <w:style w:type="paragraph" w:styleId="BodyTextIndent">
    <w:name w:val="Body Text Indent"/>
    <w:basedOn w:val="Normal"/>
    <w:link w:val="BodyTextIndentChar"/>
    <w:uiPriority w:val="99"/>
    <w:unhideWhenUsed/>
    <w:qFormat/>
    <w:rsid w:val="00156451"/>
    <w:pPr>
      <w:ind w:left="357"/>
    </w:pPr>
  </w:style>
  <w:style w:type="character" w:customStyle="1" w:styleId="BodyTextIndentChar">
    <w:name w:val="Body Text Indent Char"/>
    <w:basedOn w:val="DefaultParagraphFont"/>
    <w:link w:val="BodyTextIndent"/>
    <w:uiPriority w:val="99"/>
    <w:rsid w:val="00156451"/>
    <w:rPr>
      <w:color w:val="414042" w:themeColor="accent3"/>
      <w:sz w:val="20"/>
    </w:rPr>
  </w:style>
  <w:style w:type="paragraph" w:styleId="BodyTextIndent2">
    <w:name w:val="Body Text Indent 2"/>
    <w:basedOn w:val="Normal"/>
    <w:link w:val="BodyTextIndent2Char"/>
    <w:uiPriority w:val="99"/>
    <w:unhideWhenUsed/>
    <w:qFormat/>
    <w:rsid w:val="00156451"/>
    <w:pPr>
      <w:ind w:left="714"/>
    </w:pPr>
  </w:style>
  <w:style w:type="character" w:customStyle="1" w:styleId="BodyTextIndent2Char">
    <w:name w:val="Body Text Indent 2 Char"/>
    <w:basedOn w:val="DefaultParagraphFont"/>
    <w:link w:val="BodyTextIndent2"/>
    <w:uiPriority w:val="99"/>
    <w:rsid w:val="00156451"/>
    <w:rPr>
      <w:color w:val="414042" w:themeColor="accent3"/>
      <w:sz w:val="20"/>
    </w:rPr>
  </w:style>
  <w:style w:type="paragraph" w:styleId="BodyTextIndent3">
    <w:name w:val="Body Text Indent 3"/>
    <w:basedOn w:val="Normal"/>
    <w:link w:val="BodyTextIndent3Char"/>
    <w:uiPriority w:val="99"/>
    <w:unhideWhenUsed/>
    <w:qFormat/>
    <w:rsid w:val="00156451"/>
    <w:pPr>
      <w:ind w:left="1072"/>
    </w:pPr>
    <w:rPr>
      <w:szCs w:val="16"/>
    </w:rPr>
  </w:style>
  <w:style w:type="character" w:customStyle="1" w:styleId="BodyTextIndent3Char">
    <w:name w:val="Body Text Indent 3 Char"/>
    <w:basedOn w:val="DefaultParagraphFont"/>
    <w:link w:val="BodyTextIndent3"/>
    <w:uiPriority w:val="99"/>
    <w:rsid w:val="00156451"/>
    <w:rPr>
      <w:color w:val="414042" w:themeColor="accent3"/>
      <w:sz w:val="20"/>
      <w:szCs w:val="16"/>
    </w:rPr>
  </w:style>
  <w:style w:type="paragraph" w:styleId="BodyTextFirstIndent">
    <w:name w:val="Body Text First Indent"/>
    <w:basedOn w:val="BodyText"/>
    <w:link w:val="BodyTextFirstIndentChar"/>
    <w:uiPriority w:val="99"/>
    <w:semiHidden/>
    <w:unhideWhenUsed/>
    <w:rsid w:val="00CE68DA"/>
    <w:pPr>
      <w:spacing w:after="280"/>
      <w:ind w:firstLine="357"/>
    </w:pPr>
    <w:rPr>
      <w:sz w:val="18"/>
    </w:rPr>
  </w:style>
  <w:style w:type="character" w:customStyle="1" w:styleId="BodyTextFirstIndentChar">
    <w:name w:val="Body Text First Indent Char"/>
    <w:basedOn w:val="BodyTextChar"/>
    <w:link w:val="BodyTextFirstIndent"/>
    <w:uiPriority w:val="99"/>
    <w:semiHidden/>
    <w:rsid w:val="00CE68DA"/>
    <w:rPr>
      <w:color w:val="414042" w:themeColor="accent3"/>
      <w:sz w:val="18"/>
    </w:rPr>
  </w:style>
  <w:style w:type="paragraph" w:styleId="ListNumber">
    <w:name w:val="List Number"/>
    <w:basedOn w:val="Normal"/>
    <w:uiPriority w:val="99"/>
    <w:unhideWhenUsed/>
    <w:qFormat/>
    <w:rsid w:val="00304F4E"/>
    <w:pPr>
      <w:numPr>
        <w:numId w:val="6"/>
      </w:numPr>
      <w:contextualSpacing/>
    </w:pPr>
  </w:style>
  <w:style w:type="paragraph" w:styleId="ListNumber2">
    <w:name w:val="List Number 2"/>
    <w:basedOn w:val="Normal"/>
    <w:uiPriority w:val="99"/>
    <w:unhideWhenUsed/>
    <w:qFormat/>
    <w:rsid w:val="007B7D11"/>
    <w:pPr>
      <w:numPr>
        <w:numId w:val="7"/>
      </w:numPr>
      <w:ind w:left="714" w:hanging="357"/>
      <w:contextualSpacing/>
    </w:pPr>
  </w:style>
  <w:style w:type="paragraph" w:styleId="ListNumber3">
    <w:name w:val="List Number 3"/>
    <w:basedOn w:val="Normal"/>
    <w:uiPriority w:val="99"/>
    <w:unhideWhenUsed/>
    <w:qFormat/>
    <w:rsid w:val="00071BDA"/>
    <w:pPr>
      <w:numPr>
        <w:numId w:val="17"/>
      </w:numPr>
      <w:ind w:left="1071" w:hanging="357"/>
      <w:contextualSpacing/>
    </w:pPr>
  </w:style>
  <w:style w:type="table" w:styleId="ListTable3-Accent1">
    <w:name w:val="List Table 3 Accent 1"/>
    <w:basedOn w:val="TableNormal"/>
    <w:uiPriority w:val="48"/>
    <w:rsid w:val="00D36C88"/>
    <w:pPr>
      <w:spacing w:after="0" w:line="240" w:lineRule="auto"/>
    </w:pPr>
    <w:tblPr>
      <w:tblStyleRowBandSize w:val="1"/>
      <w:tblStyleColBandSize w:val="1"/>
      <w:tblBorders>
        <w:top w:val="single" w:sz="4" w:space="0" w:color="00C752" w:themeColor="accent1"/>
        <w:left w:val="single" w:sz="4" w:space="0" w:color="00C752" w:themeColor="accent1"/>
        <w:bottom w:val="single" w:sz="4" w:space="0" w:color="00C752" w:themeColor="accent1"/>
        <w:right w:val="single" w:sz="4" w:space="0" w:color="00C752" w:themeColor="accent1"/>
        <w:insideH w:val="single" w:sz="4" w:space="0" w:color="00C752" w:themeColor="accent1"/>
        <w:insideV w:val="single" w:sz="4" w:space="0" w:color="00C752" w:themeColor="accent1"/>
      </w:tblBorders>
      <w:tblCellMar>
        <w:left w:w="142" w:type="dxa"/>
        <w:right w:w="142" w:type="dxa"/>
      </w:tblCellMar>
    </w:tblPr>
    <w:tcPr>
      <w:shd w:val="clear" w:color="auto" w:fill="auto"/>
      <w:vAlign w:val="center"/>
    </w:tcPr>
    <w:tblStylePr w:type="firstRow">
      <w:rPr>
        <w:b w:val="0"/>
        <w:bCs/>
        <w:color w:val="FFFFFF" w:themeColor="background1"/>
      </w:rPr>
      <w:tblPr/>
      <w:tcPr>
        <w:shd w:val="clear" w:color="auto" w:fill="00C752" w:themeFill="accent1"/>
      </w:tcPr>
    </w:tblStylePr>
    <w:tblStylePr w:type="lastRow">
      <w:rPr>
        <w:b w:val="0"/>
        <w:bCs/>
      </w:rPr>
      <w:tblPr/>
      <w:tcPr>
        <w:tcBorders>
          <w:top w:val="double" w:sz="4" w:space="0" w:color="00C752"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C752" w:themeColor="accent1"/>
          <w:right w:val="single" w:sz="4" w:space="0" w:color="00C752" w:themeColor="accent1"/>
        </w:tcBorders>
      </w:tcPr>
    </w:tblStylePr>
    <w:tblStylePr w:type="band1Horz">
      <w:tblPr/>
      <w:tcPr>
        <w:tcBorders>
          <w:top w:val="single" w:sz="4" w:space="0" w:color="00C752" w:themeColor="accent1"/>
          <w:bottom w:val="single" w:sz="4" w:space="0" w:color="00C75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52" w:themeColor="accent1"/>
          <w:left w:val="nil"/>
        </w:tcBorders>
      </w:tcPr>
    </w:tblStylePr>
    <w:tblStylePr w:type="swCell">
      <w:tblPr/>
      <w:tcPr>
        <w:tcBorders>
          <w:top w:val="double" w:sz="4" w:space="0" w:color="00C752" w:themeColor="accent1"/>
          <w:right w:val="nil"/>
        </w:tcBorders>
      </w:tcPr>
    </w:tblStylePr>
  </w:style>
  <w:style w:type="paragraph" w:styleId="ListParagraph">
    <w:name w:val="List Paragraph"/>
    <w:basedOn w:val="Normal"/>
    <w:link w:val="ListParagraphChar"/>
    <w:uiPriority w:val="34"/>
    <w:qFormat/>
    <w:rsid w:val="009142F0"/>
    <w:pPr>
      <w:spacing w:before="0" w:after="0"/>
      <w:ind w:left="720"/>
    </w:pPr>
    <w:rPr>
      <w:rFonts w:ascii="Arial" w:hAnsi="Arial"/>
      <w:lang w:val="en-AU"/>
    </w:rPr>
  </w:style>
  <w:style w:type="character" w:customStyle="1" w:styleId="ListParagraphChar">
    <w:name w:val="List Paragraph Char"/>
    <w:basedOn w:val="DefaultParagraphFont"/>
    <w:link w:val="ListParagraph"/>
    <w:uiPriority w:val="34"/>
    <w:locked/>
    <w:rsid w:val="009142F0"/>
    <w:rPr>
      <w:rFonts w:ascii="Arial" w:hAnsi="Arial"/>
      <w:color w:val="000000" w:themeColor="text1"/>
      <w:sz w:val="20"/>
      <w:lang w:val="en-AU"/>
    </w:rPr>
  </w:style>
  <w:style w:type="table" w:customStyle="1" w:styleId="TableGrid3">
    <w:name w:val="Table Grid3"/>
    <w:basedOn w:val="TableNormal"/>
    <w:next w:val="TableGrid"/>
    <w:uiPriority w:val="59"/>
    <w:rsid w:val="0091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unhideWhenUsed/>
    <w:qFormat/>
    <w:rsid w:val="002658CC"/>
    <w:pPr>
      <w:tabs>
        <w:tab w:val="left" w:pos="284"/>
        <w:tab w:val="left" w:pos="709"/>
        <w:tab w:val="right" w:leader="dot" w:pos="8834"/>
      </w:tabs>
      <w:spacing w:after="0"/>
    </w:pPr>
    <w:rPr>
      <w:b/>
      <w:noProof/>
      <w:color w:val="014846" w:themeColor="text2"/>
      <w:lang w:val="en-AU"/>
    </w:rPr>
  </w:style>
  <w:style w:type="paragraph" w:styleId="TOC2">
    <w:name w:val="toc 2"/>
    <w:basedOn w:val="TOC1"/>
    <w:next w:val="Normal"/>
    <w:autoRedefine/>
    <w:uiPriority w:val="39"/>
    <w:unhideWhenUsed/>
    <w:rsid w:val="002658CC"/>
    <w:pPr>
      <w:tabs>
        <w:tab w:val="clear" w:pos="284"/>
        <w:tab w:val="left" w:pos="851"/>
        <w:tab w:val="right" w:leader="dot" w:pos="8789"/>
      </w:tabs>
      <w:spacing w:before="60"/>
      <w:ind w:left="756" w:right="-17" w:hanging="472"/>
      <w:jc w:val="both"/>
    </w:pPr>
    <w:rPr>
      <w:rFonts w:ascii="Century Gothic" w:hAnsi="Century Gothic"/>
      <w:b w:val="0"/>
      <w:szCs w:val="24"/>
    </w:rPr>
  </w:style>
  <w:style w:type="character" w:styleId="Hyperlink">
    <w:name w:val="Hyperlink"/>
    <w:basedOn w:val="BodyTextChar"/>
    <w:uiPriority w:val="99"/>
    <w:unhideWhenUsed/>
    <w:rsid w:val="00990C11"/>
    <w:rPr>
      <w:rFonts w:ascii="Century Gothic" w:hAnsi="Century Gothic"/>
      <w:color w:val="00AFD0" w:themeColor="accent6"/>
      <w:sz w:val="20"/>
      <w:u w:val="single" w:color="00AFD0" w:themeColor="accent6"/>
    </w:rPr>
  </w:style>
  <w:style w:type="paragraph" w:customStyle="1" w:styleId="Default">
    <w:name w:val="Default"/>
    <w:rsid w:val="009142F0"/>
    <w:pPr>
      <w:autoSpaceDE w:val="0"/>
      <w:autoSpaceDN w:val="0"/>
      <w:adjustRightInd w:val="0"/>
      <w:spacing w:after="0" w:line="240" w:lineRule="auto"/>
    </w:pPr>
    <w:rPr>
      <w:rFonts w:ascii="Trade Gothic LT Com Light" w:hAnsi="Trade Gothic LT Com Light" w:cs="Trade Gothic LT Com Light"/>
      <w:color w:val="000000"/>
      <w:sz w:val="24"/>
      <w:szCs w:val="24"/>
      <w:lang w:val="en-AU"/>
    </w:rPr>
  </w:style>
  <w:style w:type="table" w:styleId="TableGridLight">
    <w:name w:val="Grid Table Light"/>
    <w:basedOn w:val="TableNormal"/>
    <w:uiPriority w:val="40"/>
    <w:rsid w:val="006538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Title">
    <w:name w:val="Document Title"/>
    <w:basedOn w:val="Normal"/>
    <w:qFormat/>
    <w:rsid w:val="00BC21EA"/>
    <w:rPr>
      <w:b/>
      <w:bCs/>
      <w:color w:val="00C752" w:themeColor="accent1"/>
      <w:sz w:val="40"/>
      <w:szCs w:val="40"/>
    </w:rPr>
  </w:style>
  <w:style w:type="paragraph" w:customStyle="1" w:styleId="Heading1-nonumber">
    <w:name w:val="Heading 1 - no number"/>
    <w:basedOn w:val="Heading1"/>
    <w:next w:val="BodyText"/>
    <w:qFormat/>
    <w:rsid w:val="000F1367"/>
  </w:style>
  <w:style w:type="paragraph" w:styleId="TOC3">
    <w:name w:val="toc 3"/>
    <w:basedOn w:val="TOC1"/>
    <w:next w:val="Normal"/>
    <w:autoRedefine/>
    <w:uiPriority w:val="39"/>
    <w:unhideWhenUsed/>
    <w:rsid w:val="002658CC"/>
    <w:pPr>
      <w:tabs>
        <w:tab w:val="left" w:pos="1100"/>
        <w:tab w:val="right" w:leader="dot" w:pos="6637"/>
      </w:tabs>
      <w:spacing w:before="40"/>
      <w:ind w:left="403"/>
      <w:contextualSpacing/>
    </w:pPr>
    <w:rPr>
      <w:rFonts w:ascii="Century Gothic" w:hAnsi="Century Gothic"/>
      <w:b w:val="0"/>
      <w:color w:val="000000" w:themeColor="text1"/>
      <w:sz w:val="18"/>
    </w:rPr>
  </w:style>
  <w:style w:type="character" w:styleId="UnresolvedMention">
    <w:name w:val="Unresolved Mention"/>
    <w:basedOn w:val="DefaultParagraphFont"/>
    <w:uiPriority w:val="99"/>
    <w:semiHidden/>
    <w:unhideWhenUsed/>
    <w:rsid w:val="00990C11"/>
    <w:rPr>
      <w:color w:val="605E5C"/>
      <w:shd w:val="clear" w:color="auto" w:fill="E1DFDD"/>
    </w:rPr>
  </w:style>
  <w:style w:type="paragraph" w:customStyle="1" w:styleId="SubHeading">
    <w:name w:val="Sub Heading"/>
    <w:basedOn w:val="Normal"/>
    <w:qFormat/>
    <w:rsid w:val="008D522A"/>
    <w:rPr>
      <w:color w:val="00C752" w:themeColor="accent1"/>
    </w:rPr>
  </w:style>
  <w:style w:type="paragraph" w:styleId="TOCHeading">
    <w:name w:val="TOC Heading"/>
    <w:basedOn w:val="Heading1"/>
    <w:next w:val="Normal"/>
    <w:uiPriority w:val="39"/>
    <w:semiHidden/>
    <w:unhideWhenUsed/>
    <w:qFormat/>
    <w:rsid w:val="002658CC"/>
    <w:pPr>
      <w:spacing w:before="240" w:after="0"/>
      <w:outlineLvl w:val="9"/>
    </w:pPr>
    <w:rPr>
      <w:b w:val="0"/>
      <w:sz w:val="32"/>
    </w:rPr>
  </w:style>
  <w:style w:type="character" w:styleId="Mention">
    <w:name w:val="Mention"/>
    <w:basedOn w:val="DefaultParagraphFont"/>
    <w:uiPriority w:val="99"/>
    <w:semiHidden/>
    <w:unhideWhenUsed/>
    <w:rsid w:val="002658CC"/>
    <w:rPr>
      <w:color w:val="936DB7" w:themeColor="accent5"/>
      <w:shd w:val="clear" w:color="auto" w:fill="E1DFDD"/>
    </w:rPr>
  </w:style>
  <w:style w:type="character" w:styleId="SmartLink">
    <w:name w:val="Smart Link"/>
    <w:basedOn w:val="DefaultParagraphFont"/>
    <w:uiPriority w:val="99"/>
    <w:semiHidden/>
    <w:unhideWhenUsed/>
    <w:rsid w:val="002658CC"/>
    <w:rPr>
      <w:color w:val="00AFD0" w:themeColor="accent6"/>
      <w:u w:val="single"/>
      <w:shd w:val="clear" w:color="auto" w:fill="E1DFDD"/>
    </w:rPr>
  </w:style>
  <w:style w:type="character" w:customStyle="1" w:styleId="SmartLinkError">
    <w:name w:val="Smart Link Error"/>
    <w:basedOn w:val="DefaultParagraphFont"/>
    <w:uiPriority w:val="99"/>
    <w:semiHidden/>
    <w:unhideWhenUsed/>
    <w:rsid w:val="002658CC"/>
    <w:rPr>
      <w:color w:val="FF0000"/>
    </w:rPr>
  </w:style>
  <w:style w:type="paragraph" w:styleId="TOC4">
    <w:name w:val="toc 4"/>
    <w:basedOn w:val="Normal"/>
    <w:next w:val="Normal"/>
    <w:autoRedefine/>
    <w:uiPriority w:val="39"/>
    <w:semiHidden/>
    <w:unhideWhenUsed/>
    <w:rsid w:val="002658CC"/>
    <w:pPr>
      <w:spacing w:after="100"/>
      <w:ind w:left="600"/>
    </w:pPr>
    <w:rPr>
      <w:sz w:val="18"/>
    </w:rPr>
  </w:style>
  <w:style w:type="paragraph" w:styleId="TOC5">
    <w:name w:val="toc 5"/>
    <w:basedOn w:val="Normal"/>
    <w:next w:val="Normal"/>
    <w:autoRedefine/>
    <w:uiPriority w:val="39"/>
    <w:semiHidden/>
    <w:unhideWhenUsed/>
    <w:rsid w:val="002658CC"/>
    <w:pPr>
      <w:spacing w:after="100"/>
      <w:ind w:left="800"/>
    </w:pPr>
    <w:rPr>
      <w:sz w:val="18"/>
    </w:rPr>
  </w:style>
  <w:style w:type="paragraph" w:styleId="TOC6">
    <w:name w:val="toc 6"/>
    <w:basedOn w:val="Normal"/>
    <w:next w:val="Normal"/>
    <w:autoRedefine/>
    <w:uiPriority w:val="39"/>
    <w:semiHidden/>
    <w:unhideWhenUsed/>
    <w:rsid w:val="002658CC"/>
    <w:pPr>
      <w:spacing w:after="100"/>
      <w:ind w:left="1000"/>
    </w:pPr>
    <w:rPr>
      <w:sz w:val="18"/>
    </w:rPr>
  </w:style>
  <w:style w:type="paragraph" w:styleId="TOC7">
    <w:name w:val="toc 7"/>
    <w:basedOn w:val="Normal"/>
    <w:next w:val="Normal"/>
    <w:autoRedefine/>
    <w:uiPriority w:val="39"/>
    <w:semiHidden/>
    <w:unhideWhenUsed/>
    <w:rsid w:val="002658CC"/>
    <w:pPr>
      <w:spacing w:after="100"/>
      <w:ind w:left="1200"/>
    </w:pPr>
    <w:rPr>
      <w:sz w:val="18"/>
    </w:rPr>
  </w:style>
  <w:style w:type="paragraph" w:styleId="TOC8">
    <w:name w:val="toc 8"/>
    <w:basedOn w:val="Normal"/>
    <w:next w:val="Normal"/>
    <w:autoRedefine/>
    <w:uiPriority w:val="39"/>
    <w:semiHidden/>
    <w:unhideWhenUsed/>
    <w:rsid w:val="002658CC"/>
    <w:pPr>
      <w:spacing w:after="100"/>
      <w:ind w:left="1400"/>
    </w:pPr>
    <w:rPr>
      <w:sz w:val="18"/>
    </w:rPr>
  </w:style>
  <w:style w:type="paragraph" w:styleId="TOC9">
    <w:name w:val="toc 9"/>
    <w:basedOn w:val="Normal"/>
    <w:next w:val="Normal"/>
    <w:autoRedefine/>
    <w:uiPriority w:val="39"/>
    <w:semiHidden/>
    <w:unhideWhenUsed/>
    <w:rsid w:val="002658CC"/>
    <w:pPr>
      <w:spacing w:after="100"/>
      <w:ind w:left="1600"/>
    </w:pPr>
    <w:rPr>
      <w:sz w:val="18"/>
    </w:rPr>
  </w:style>
  <w:style w:type="character" w:styleId="SmartHyperlink">
    <w:name w:val="Smart Hyperlink"/>
    <w:basedOn w:val="DefaultParagraphFont"/>
    <w:uiPriority w:val="99"/>
    <w:semiHidden/>
    <w:unhideWhenUsed/>
    <w:rsid w:val="002658CC"/>
    <w:rPr>
      <w:color w:val="00AFD0" w:themeColor="accent6"/>
      <w:u w:val="single"/>
    </w:rPr>
  </w:style>
  <w:style w:type="character" w:styleId="IntenseReference">
    <w:name w:val="Intense Reference"/>
    <w:basedOn w:val="DefaultParagraphFont"/>
    <w:uiPriority w:val="32"/>
    <w:rsid w:val="002658CC"/>
    <w:rPr>
      <w:rFonts w:asciiTheme="minorHAnsi" w:hAnsiTheme="minorHAnsi"/>
      <w:b/>
      <w:bCs/>
      <w:smallCaps/>
      <w:color w:val="00C752" w:themeColor="accent1"/>
      <w:spacing w:val="5"/>
    </w:rPr>
  </w:style>
  <w:style w:type="character" w:styleId="Hashtag">
    <w:name w:val="Hashtag"/>
    <w:basedOn w:val="DefaultParagraphFont"/>
    <w:uiPriority w:val="99"/>
    <w:semiHidden/>
    <w:unhideWhenUsed/>
    <w:rsid w:val="002658CC"/>
    <w:rPr>
      <w:color w:val="00AFD0" w:themeColor="accent6"/>
      <w:shd w:val="clear" w:color="auto" w:fill="E1DFDD"/>
    </w:rPr>
  </w:style>
  <w:style w:type="character" w:styleId="FollowedHyperlink">
    <w:name w:val="FollowedHyperlink"/>
    <w:basedOn w:val="DefaultParagraphFont"/>
    <w:uiPriority w:val="99"/>
    <w:semiHidden/>
    <w:unhideWhenUsed/>
    <w:rsid w:val="002658CC"/>
    <w:rPr>
      <w:color w:val="936DB7" w:themeColor="accent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6522">
      <w:bodyDiv w:val="1"/>
      <w:marLeft w:val="0"/>
      <w:marRight w:val="0"/>
      <w:marTop w:val="0"/>
      <w:marBottom w:val="0"/>
      <w:divBdr>
        <w:top w:val="none" w:sz="0" w:space="0" w:color="auto"/>
        <w:left w:val="none" w:sz="0" w:space="0" w:color="auto"/>
        <w:bottom w:val="none" w:sz="0" w:space="0" w:color="auto"/>
        <w:right w:val="none" w:sz="0" w:space="0" w:color="auto"/>
      </w:divBdr>
    </w:div>
    <w:div w:id="6861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6m/q40dwg7s48df0841jjhs0wlctkwh1q/T/com.microsoft.Outlook/Outlook%20Temp/Logo%20Landscape.dotx" TargetMode="External"/></Relationships>
</file>

<file path=word/theme/theme1.xml><?xml version="1.0" encoding="utf-8"?>
<a:theme xmlns:a="http://schemas.openxmlformats.org/drawingml/2006/main" name="CEFC Theme Excel">
  <a:themeElements>
    <a:clrScheme name="CEFC">
      <a:dk1>
        <a:srgbClr val="000000"/>
      </a:dk1>
      <a:lt1>
        <a:sysClr val="window" lastClr="FFFFFF"/>
      </a:lt1>
      <a:dk2>
        <a:srgbClr val="014846"/>
      </a:dk2>
      <a:lt2>
        <a:srgbClr val="F4F0ED"/>
      </a:lt2>
      <a:accent1>
        <a:srgbClr val="00C752"/>
      </a:accent1>
      <a:accent2>
        <a:srgbClr val="B3D83A"/>
      </a:accent2>
      <a:accent3>
        <a:srgbClr val="414042"/>
      </a:accent3>
      <a:accent4>
        <a:srgbClr val="939589"/>
      </a:accent4>
      <a:accent5>
        <a:srgbClr val="936DB7"/>
      </a:accent5>
      <a:accent6>
        <a:srgbClr val="00AFD0"/>
      </a:accent6>
      <a:hlink>
        <a:srgbClr val="FF8450"/>
      </a:hlink>
      <a:folHlink>
        <a:srgbClr val="99644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spcBef>
            <a:spcPts val="600"/>
          </a:spcBef>
          <a:spcAft>
            <a:spcPts val="300"/>
          </a:spcAft>
          <a:defRPr dirty="0" smtClean="0">
            <a:solidFill>
              <a:schemeClr val="tx2"/>
            </a:solidFill>
          </a:defRPr>
        </a:defPPr>
      </a:lstStyle>
    </a:txDef>
  </a:objectDefaults>
  <a:extraClrSchemeLst/>
  <a:extLst>
    <a:ext uri="{05A4C25C-085E-4340-85A3-A5531E510DB2}">
      <thm15:themeFamily xmlns:thm15="http://schemas.microsoft.com/office/thememl/2012/main" name="CEFC-Standard" id="{AD9DCBD4-1D28-4761-939D-B20DF09930BE}" vid="{B077AFC7-951D-4347-912E-525CC9A6CE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C27F-FEC4-064C-B123-9060C3D7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Landscape.dotx</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Cook</cp:lastModifiedBy>
  <cp:revision>2</cp:revision>
  <dcterms:created xsi:type="dcterms:W3CDTF">2020-07-23T22:56:00Z</dcterms:created>
  <dcterms:modified xsi:type="dcterms:W3CDTF">2020-07-23T22:58:00Z</dcterms:modified>
</cp:coreProperties>
</file>